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7" w:rsidRPr="00D002A7" w:rsidRDefault="00D002A7" w:rsidP="00D002A7">
      <w:pPr>
        <w:pStyle w:val="a3"/>
        <w:spacing w:before="0" w:beforeAutospacing="0" w:after="0" w:afterAutospacing="0"/>
        <w:jc w:val="center"/>
        <w:rPr>
          <w:b/>
        </w:rPr>
      </w:pPr>
      <w:r w:rsidRPr="00D002A7">
        <w:rPr>
          <w:b/>
          <w:sz w:val="28"/>
          <w:szCs w:val="28"/>
        </w:rPr>
        <w:t>Работа Федерального агентства воздушного транспорта</w:t>
      </w:r>
    </w:p>
    <w:p w:rsidR="00D002A7" w:rsidRPr="00D002A7" w:rsidRDefault="00D002A7" w:rsidP="00D002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002A7">
        <w:rPr>
          <w:b/>
          <w:sz w:val="28"/>
          <w:szCs w:val="28"/>
        </w:rPr>
        <w:t xml:space="preserve">с обращениями граждан в 2014 году </w:t>
      </w:r>
    </w:p>
    <w:p w:rsidR="00D002A7" w:rsidRPr="00D002A7" w:rsidRDefault="00D002A7" w:rsidP="00D002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002A7">
        <w:rPr>
          <w:b/>
          <w:sz w:val="28"/>
          <w:szCs w:val="28"/>
        </w:rPr>
        <w:t>(аналитическая справка)</w:t>
      </w:r>
    </w:p>
    <w:p w:rsidR="00D002A7" w:rsidRPr="00D002A7" w:rsidRDefault="00D002A7" w:rsidP="00D002A7">
      <w:pPr>
        <w:pStyle w:val="a3"/>
        <w:spacing w:before="0" w:beforeAutospacing="0" w:after="0" w:afterAutospacing="0"/>
        <w:jc w:val="center"/>
      </w:pPr>
    </w:p>
    <w:p w:rsidR="00D002A7" w:rsidRPr="00D002A7" w:rsidRDefault="00D002A7" w:rsidP="00D002A7">
      <w:pPr>
        <w:ind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Обеспечение своевременного и качественного рассмотрения обращений граждан является одним из приоритетных и важных направлений в деятельности Федерального агентства воздушного транспорта.</w:t>
      </w:r>
    </w:p>
    <w:p w:rsidR="00D002A7" w:rsidRPr="00D002A7" w:rsidRDefault="00D002A7" w:rsidP="00D002A7">
      <w:pPr>
        <w:ind w:firstLine="708"/>
        <w:jc w:val="both"/>
        <w:rPr>
          <w:rStyle w:val="a6"/>
          <w:i w:val="0"/>
          <w:sz w:val="28"/>
          <w:szCs w:val="28"/>
        </w:rPr>
      </w:pPr>
      <w:r w:rsidRPr="00D002A7">
        <w:rPr>
          <w:color w:val="000000"/>
          <w:sz w:val="28"/>
          <w:szCs w:val="28"/>
        </w:rPr>
        <w:t xml:space="preserve">В 2014 году в </w:t>
      </w:r>
      <w:r w:rsidRPr="00D002A7">
        <w:rPr>
          <w:rStyle w:val="a6"/>
          <w:i w:val="0"/>
          <w:sz w:val="26"/>
          <w:szCs w:val="26"/>
        </w:rPr>
        <w:t xml:space="preserve"> </w:t>
      </w:r>
      <w:r w:rsidRPr="00D002A7">
        <w:rPr>
          <w:rStyle w:val="a6"/>
          <w:i w:val="0"/>
          <w:sz w:val="28"/>
          <w:szCs w:val="28"/>
        </w:rPr>
        <w:t>целях реализации</w:t>
      </w:r>
      <w:r w:rsidRPr="00D002A7">
        <w:rPr>
          <w:sz w:val="28"/>
          <w:szCs w:val="28"/>
        </w:rPr>
        <w:t xml:space="preserve"> Федерального закона Российской Федерации от 02.05.2006 № 59-ФЗ «О порядке рассмотрения обращений граждан Российской Федерации» должностными лицами  </w:t>
      </w:r>
      <w:r w:rsidRPr="00D002A7">
        <w:rPr>
          <w:rStyle w:val="a6"/>
          <w:i w:val="0"/>
          <w:sz w:val="28"/>
          <w:szCs w:val="28"/>
        </w:rPr>
        <w:t>Росавиации были рассмотрены 5 359 обращений, поступивших в Федеральное агентство воздушного транспорта в письменной форме, в форме электронных сообщений (интернет-сообщения), в том числе на официальный сайт Росавиации, а также обращения граждан в ходе личного приема граждан руководством Росавиации.</w:t>
      </w:r>
    </w:p>
    <w:p w:rsidR="00D002A7" w:rsidRPr="00D002A7" w:rsidRDefault="00D002A7" w:rsidP="00D002A7">
      <w:pPr>
        <w:ind w:firstLine="720"/>
        <w:jc w:val="both"/>
        <w:rPr>
          <w:rStyle w:val="a6"/>
          <w:b/>
          <w:bCs/>
          <w:sz w:val="28"/>
          <w:szCs w:val="28"/>
        </w:rPr>
      </w:pPr>
    </w:p>
    <w:p w:rsidR="00D002A7" w:rsidRPr="00D002A7" w:rsidRDefault="00D002A7" w:rsidP="00D002A7">
      <w:pPr>
        <w:jc w:val="center"/>
        <w:rPr>
          <w:rStyle w:val="a6"/>
          <w:b/>
          <w:bCs/>
          <w:i w:val="0"/>
          <w:sz w:val="28"/>
          <w:szCs w:val="28"/>
        </w:rPr>
      </w:pPr>
      <w:r w:rsidRPr="00D002A7">
        <w:rPr>
          <w:rStyle w:val="a6"/>
          <w:b/>
          <w:bCs/>
          <w:i w:val="0"/>
          <w:sz w:val="28"/>
          <w:szCs w:val="28"/>
        </w:rPr>
        <w:t>Общая статистика обращений</w:t>
      </w:r>
    </w:p>
    <w:p w:rsidR="00D002A7" w:rsidRPr="00D002A7" w:rsidRDefault="00D002A7" w:rsidP="00D002A7">
      <w:pPr>
        <w:jc w:val="center"/>
        <w:rPr>
          <w:b/>
          <w:i/>
          <w:sz w:val="28"/>
          <w:szCs w:val="28"/>
        </w:rPr>
      </w:pPr>
    </w:p>
    <w:p w:rsidR="00D002A7" w:rsidRPr="00D002A7" w:rsidRDefault="00D002A7" w:rsidP="00D002A7">
      <w:pPr>
        <w:ind w:firstLine="720"/>
        <w:jc w:val="both"/>
        <w:rPr>
          <w:b/>
          <w:sz w:val="28"/>
          <w:szCs w:val="28"/>
        </w:rPr>
      </w:pPr>
      <w:r w:rsidRPr="00D002A7">
        <w:rPr>
          <w:sz w:val="28"/>
          <w:szCs w:val="28"/>
        </w:rPr>
        <w:t>Количество поступивших за 2014 год обращений граждан составило 5 359.</w:t>
      </w:r>
    </w:p>
    <w:p w:rsidR="00D002A7" w:rsidRPr="00D002A7" w:rsidRDefault="00D002A7" w:rsidP="00D002A7">
      <w:pPr>
        <w:ind w:firstLine="720"/>
        <w:jc w:val="both"/>
        <w:rPr>
          <w:b/>
          <w:sz w:val="28"/>
          <w:szCs w:val="28"/>
        </w:rPr>
      </w:pPr>
      <w:r w:rsidRPr="00D002A7">
        <w:rPr>
          <w:sz w:val="28"/>
          <w:szCs w:val="28"/>
        </w:rPr>
        <w:t>Следует отметить, что за истекший 2014 год темп роста числа обращений граждан по сравнению с 2013 годом увеличился</w:t>
      </w:r>
      <w:r w:rsidRPr="00D002A7">
        <w:rPr>
          <w:b/>
          <w:sz w:val="28"/>
          <w:szCs w:val="28"/>
        </w:rPr>
        <w:t xml:space="preserve"> </w:t>
      </w:r>
      <w:r w:rsidRPr="00D002A7">
        <w:rPr>
          <w:sz w:val="28"/>
          <w:szCs w:val="28"/>
        </w:rPr>
        <w:t>в 2 раза (2 572 обращения).</w:t>
      </w:r>
    </w:p>
    <w:p w:rsidR="00D002A7" w:rsidRPr="00D002A7" w:rsidRDefault="00D002A7" w:rsidP="00D002A7">
      <w:pPr>
        <w:ind w:firstLine="720"/>
        <w:jc w:val="both"/>
        <w:rPr>
          <w:sz w:val="28"/>
          <w:szCs w:val="28"/>
        </w:rPr>
      </w:pPr>
      <w:r w:rsidRPr="00D002A7">
        <w:rPr>
          <w:sz w:val="28"/>
          <w:szCs w:val="28"/>
        </w:rPr>
        <w:t xml:space="preserve">В истекшем году в Росавиацию поступило 77 коллективных обращений, что в 1,5 раза больше, чем в 2013 году (тогда поступило 52 коллективных обращений). </w:t>
      </w:r>
    </w:p>
    <w:p w:rsidR="00D002A7" w:rsidRPr="00D002A7" w:rsidRDefault="00D002A7" w:rsidP="00D002A7">
      <w:pPr>
        <w:ind w:firstLine="720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С официального сайта Росавиации и посредством системы межведомственного электронного документооборота  в Федеральное агентство воздушного транспорта в 2014 году поступило 1 767 обращений граждан, что на 21% больше, чем в 2013 году (1 463 обращений).</w:t>
      </w:r>
    </w:p>
    <w:p w:rsidR="00D002A7" w:rsidRPr="00D002A7" w:rsidRDefault="00D002A7" w:rsidP="00D002A7">
      <w:pPr>
        <w:ind w:firstLine="720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По средствам почтовой связи в 2014 году в Росавиацию поступило 3 592 обращения граждан, что в 2,8 раза больше, чем в 2013 году (тогда по почте поступило 1 274 обращения), из них:</w:t>
      </w:r>
    </w:p>
    <w:p w:rsidR="0052633C" w:rsidRPr="00D002A7" w:rsidRDefault="0052633C" w:rsidP="00803DB0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011"/>
      </w:tblGrid>
      <w:tr w:rsidR="00BB2113" w:rsidRPr="00D002A7" w:rsidTr="007C16DD">
        <w:trPr>
          <w:trHeight w:val="393"/>
        </w:trPr>
        <w:tc>
          <w:tcPr>
            <w:tcW w:w="7054" w:type="dxa"/>
            <w:shd w:val="clear" w:color="auto" w:fill="348DA5"/>
            <w:noWrap/>
            <w:vAlign w:val="center"/>
          </w:tcPr>
          <w:p w:rsidR="00C933C3" w:rsidRPr="00D002A7" w:rsidRDefault="00C933C3" w:rsidP="00BB2113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Поступление</w:t>
            </w:r>
          </w:p>
        </w:tc>
        <w:tc>
          <w:tcPr>
            <w:tcW w:w="3011" w:type="dxa"/>
            <w:shd w:val="clear" w:color="auto" w:fill="348DA5"/>
            <w:noWrap/>
          </w:tcPr>
          <w:p w:rsidR="00C933C3" w:rsidRPr="00D002A7" w:rsidRDefault="00C933C3" w:rsidP="007C16DD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Кол</w:t>
            </w:r>
            <w:r w:rsidR="000E295C" w:rsidRPr="00D002A7">
              <w:rPr>
                <w:b/>
                <w:bCs/>
                <w:color w:val="FFFFFF"/>
                <w:sz w:val="28"/>
                <w:szCs w:val="28"/>
              </w:rPr>
              <w:t>ичест</w:t>
            </w:r>
            <w:r w:rsidRPr="00D002A7">
              <w:rPr>
                <w:b/>
                <w:bCs/>
                <w:color w:val="FFFFFF"/>
                <w:sz w:val="28"/>
                <w:szCs w:val="28"/>
              </w:rPr>
              <w:t>во</w:t>
            </w:r>
          </w:p>
          <w:p w:rsidR="00C933C3" w:rsidRPr="00D002A7" w:rsidRDefault="00C933C3" w:rsidP="007C16DD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обращений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DE9D9"/>
            <w:noWrap/>
            <w:hideMark/>
          </w:tcPr>
          <w:p w:rsidR="00C933C3" w:rsidRPr="00D002A7" w:rsidRDefault="00C933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Администрация Президента</w:t>
            </w:r>
          </w:p>
        </w:tc>
        <w:tc>
          <w:tcPr>
            <w:tcW w:w="3011" w:type="dxa"/>
            <w:shd w:val="clear" w:color="auto" w:fill="FDE9D9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861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EF4EC"/>
            <w:noWrap/>
            <w:hideMark/>
          </w:tcPr>
          <w:p w:rsidR="00C933C3" w:rsidRPr="00D002A7" w:rsidRDefault="00C933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Минтранс России</w:t>
            </w:r>
          </w:p>
        </w:tc>
        <w:tc>
          <w:tcPr>
            <w:tcW w:w="3011" w:type="dxa"/>
            <w:shd w:val="clear" w:color="auto" w:fill="FEF4EC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1627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DE9D9"/>
            <w:noWrap/>
            <w:hideMark/>
          </w:tcPr>
          <w:p w:rsidR="00C933C3" w:rsidRPr="00D002A7" w:rsidRDefault="00C933C3" w:rsidP="00811E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из Адм</w:t>
            </w:r>
            <w:r w:rsidR="00811E52" w:rsidRPr="00D002A7">
              <w:rPr>
                <w:b/>
                <w:bCs/>
                <w:color w:val="000000"/>
                <w:sz w:val="28"/>
                <w:szCs w:val="28"/>
              </w:rPr>
              <w:t>инистрации</w:t>
            </w:r>
            <w:r w:rsidRPr="00D002A7">
              <w:rPr>
                <w:b/>
                <w:bCs/>
                <w:color w:val="000000"/>
                <w:sz w:val="28"/>
                <w:szCs w:val="28"/>
              </w:rPr>
              <w:t xml:space="preserve"> Пр</w:t>
            </w:r>
            <w:r w:rsidR="00811E52" w:rsidRPr="00D002A7">
              <w:rPr>
                <w:b/>
                <w:bCs/>
                <w:color w:val="000000"/>
                <w:sz w:val="28"/>
                <w:szCs w:val="28"/>
              </w:rPr>
              <w:t>езидента</w:t>
            </w:r>
            <w:r w:rsidRPr="00D002A7">
              <w:rPr>
                <w:b/>
                <w:bCs/>
                <w:color w:val="000000"/>
                <w:sz w:val="28"/>
                <w:szCs w:val="28"/>
              </w:rPr>
              <w:t xml:space="preserve"> через Минтранс</w:t>
            </w:r>
          </w:p>
        </w:tc>
        <w:tc>
          <w:tcPr>
            <w:tcW w:w="3011" w:type="dxa"/>
            <w:shd w:val="clear" w:color="auto" w:fill="FDE9D9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966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EF4EC"/>
            <w:noWrap/>
            <w:hideMark/>
          </w:tcPr>
          <w:p w:rsidR="00C933C3" w:rsidRPr="00D002A7" w:rsidRDefault="00C933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Аппарат Правительства</w:t>
            </w:r>
          </w:p>
        </w:tc>
        <w:tc>
          <w:tcPr>
            <w:tcW w:w="3011" w:type="dxa"/>
            <w:shd w:val="clear" w:color="auto" w:fill="FEF4EC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88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DE9D9"/>
            <w:noWrap/>
            <w:hideMark/>
          </w:tcPr>
          <w:p w:rsidR="00C933C3" w:rsidRPr="00D002A7" w:rsidRDefault="00C933C3" w:rsidP="00811E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из Аппар</w:t>
            </w:r>
            <w:r w:rsidR="00811E52" w:rsidRPr="00D002A7">
              <w:rPr>
                <w:b/>
                <w:bCs/>
                <w:color w:val="000000"/>
                <w:sz w:val="28"/>
                <w:szCs w:val="28"/>
              </w:rPr>
              <w:t>ата Правительства</w:t>
            </w:r>
            <w:r w:rsidRPr="00D002A7">
              <w:rPr>
                <w:b/>
                <w:bCs/>
                <w:color w:val="000000"/>
                <w:sz w:val="28"/>
                <w:szCs w:val="28"/>
              </w:rPr>
              <w:t xml:space="preserve"> через Минтранс</w:t>
            </w:r>
          </w:p>
        </w:tc>
        <w:tc>
          <w:tcPr>
            <w:tcW w:w="3011" w:type="dxa"/>
            <w:shd w:val="clear" w:color="auto" w:fill="FDE9D9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11E52" w:rsidRPr="00D002A7" w:rsidTr="007C16DD">
        <w:trPr>
          <w:trHeight w:val="302"/>
        </w:trPr>
        <w:tc>
          <w:tcPr>
            <w:tcW w:w="7054" w:type="dxa"/>
            <w:shd w:val="clear" w:color="auto" w:fill="FEF4EC"/>
            <w:noWrap/>
            <w:hideMark/>
          </w:tcPr>
          <w:p w:rsidR="00C933C3" w:rsidRPr="00D002A7" w:rsidRDefault="00811E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 xml:space="preserve">из Государственной </w:t>
            </w:r>
            <w:r w:rsidR="00C933C3" w:rsidRPr="00D002A7">
              <w:rPr>
                <w:b/>
                <w:bCs/>
                <w:color w:val="000000"/>
                <w:sz w:val="28"/>
                <w:szCs w:val="28"/>
              </w:rPr>
              <w:t>Думы через Минтранс</w:t>
            </w:r>
          </w:p>
        </w:tc>
        <w:tc>
          <w:tcPr>
            <w:tcW w:w="3011" w:type="dxa"/>
            <w:shd w:val="clear" w:color="auto" w:fill="FEF4EC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</w:t>
            </w:r>
          </w:p>
        </w:tc>
      </w:tr>
      <w:tr w:rsidR="00811E52" w:rsidRPr="00D002A7" w:rsidTr="007C16DD">
        <w:trPr>
          <w:trHeight w:val="317"/>
        </w:trPr>
        <w:tc>
          <w:tcPr>
            <w:tcW w:w="7054" w:type="dxa"/>
            <w:shd w:val="clear" w:color="auto" w:fill="FDE9D9"/>
            <w:noWrap/>
            <w:hideMark/>
          </w:tcPr>
          <w:p w:rsidR="00C933C3" w:rsidRPr="00D002A7" w:rsidRDefault="00C933C3" w:rsidP="000E29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друг</w:t>
            </w:r>
            <w:r w:rsidR="000E295C" w:rsidRPr="00D002A7">
              <w:rPr>
                <w:b/>
                <w:bCs/>
                <w:color w:val="000000"/>
                <w:sz w:val="28"/>
                <w:szCs w:val="28"/>
              </w:rPr>
              <w:t>ие</w:t>
            </w:r>
            <w:r w:rsidRPr="00D002A7">
              <w:rPr>
                <w:b/>
                <w:bCs/>
                <w:color w:val="000000"/>
                <w:sz w:val="28"/>
                <w:szCs w:val="28"/>
              </w:rPr>
              <w:t xml:space="preserve"> ФОИВ</w:t>
            </w:r>
          </w:p>
        </w:tc>
        <w:tc>
          <w:tcPr>
            <w:tcW w:w="3011" w:type="dxa"/>
            <w:shd w:val="clear" w:color="auto" w:fill="FDE9D9"/>
            <w:noWrap/>
            <w:hideMark/>
          </w:tcPr>
          <w:p w:rsidR="00C933C3" w:rsidRPr="00D002A7" w:rsidRDefault="00146764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BB2113" w:rsidRPr="00D002A7" w:rsidRDefault="00BB2113" w:rsidP="00166119">
      <w:pPr>
        <w:ind w:firstLine="720"/>
        <w:jc w:val="both"/>
        <w:rPr>
          <w:sz w:val="28"/>
          <w:szCs w:val="28"/>
        </w:rPr>
      </w:pPr>
    </w:p>
    <w:p w:rsidR="00D002A7" w:rsidRPr="00D002A7" w:rsidRDefault="00D002A7" w:rsidP="00D002A7">
      <w:pPr>
        <w:jc w:val="center"/>
        <w:rPr>
          <w:rStyle w:val="a6"/>
          <w:b/>
          <w:bCs/>
          <w:i w:val="0"/>
          <w:sz w:val="28"/>
          <w:szCs w:val="28"/>
        </w:rPr>
      </w:pPr>
      <w:r w:rsidRPr="00D002A7">
        <w:rPr>
          <w:rStyle w:val="a6"/>
          <w:b/>
          <w:bCs/>
          <w:i w:val="0"/>
          <w:sz w:val="28"/>
          <w:szCs w:val="28"/>
        </w:rPr>
        <w:t>Статистика обращений граждан по субъектам Российской Федерации</w:t>
      </w:r>
    </w:p>
    <w:p w:rsidR="00D002A7" w:rsidRPr="00D002A7" w:rsidRDefault="00D002A7" w:rsidP="00D002A7">
      <w:pPr>
        <w:ind w:firstLine="709"/>
        <w:jc w:val="both"/>
        <w:rPr>
          <w:rFonts w:eastAsia="+mn-ea"/>
          <w:bCs/>
          <w:i/>
          <w:sz w:val="28"/>
          <w:szCs w:val="28"/>
        </w:rPr>
      </w:pPr>
    </w:p>
    <w:p w:rsidR="00D002A7" w:rsidRPr="00D002A7" w:rsidRDefault="00D002A7" w:rsidP="00D002A7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В 2014 году в Росавиацию поступило 79 обращений граждан, проживающих в Республиках: Башкортостан, Бурятия, Дагестан, Кабардино-Балкария, Карелия,  Коми, Мордовия, Якутия, Татарстан, Тыва, Хакасия, Крым.</w:t>
      </w:r>
    </w:p>
    <w:p w:rsidR="00D002A7" w:rsidRPr="00D002A7" w:rsidRDefault="00D002A7" w:rsidP="00D002A7">
      <w:pPr>
        <w:ind w:firstLine="709"/>
        <w:jc w:val="both"/>
        <w:rPr>
          <w:sz w:val="28"/>
          <w:szCs w:val="28"/>
        </w:rPr>
      </w:pPr>
      <w:r w:rsidRPr="00D002A7">
        <w:rPr>
          <w:bCs/>
          <w:iCs/>
          <w:sz w:val="28"/>
          <w:szCs w:val="28"/>
        </w:rPr>
        <w:t>Анализ данных обращений граждан в 2013 – 2014 годах свидетельствует о том, что</w:t>
      </w:r>
      <w:r w:rsidRPr="00D002A7">
        <w:rPr>
          <w:b/>
          <w:bCs/>
          <w:i/>
          <w:iCs/>
          <w:sz w:val="28"/>
          <w:szCs w:val="28"/>
        </w:rPr>
        <w:t xml:space="preserve"> </w:t>
      </w:r>
      <w:r w:rsidRPr="00D002A7">
        <w:rPr>
          <w:bCs/>
          <w:iCs/>
          <w:sz w:val="28"/>
          <w:szCs w:val="28"/>
        </w:rPr>
        <w:t>их</w:t>
      </w:r>
      <w:r w:rsidRPr="00D002A7">
        <w:rPr>
          <w:b/>
          <w:bCs/>
          <w:i/>
          <w:iCs/>
          <w:sz w:val="28"/>
          <w:szCs w:val="28"/>
        </w:rPr>
        <w:t xml:space="preserve"> </w:t>
      </w:r>
      <w:r w:rsidRPr="00D002A7">
        <w:rPr>
          <w:rStyle w:val="a6"/>
          <w:bCs/>
          <w:i w:val="0"/>
          <w:sz w:val="28"/>
          <w:szCs w:val="28"/>
        </w:rPr>
        <w:t>количество по субъектам</w:t>
      </w:r>
      <w:r w:rsidRPr="00D002A7">
        <w:rPr>
          <w:rFonts w:eastAsia="+mn-ea"/>
          <w:bCs/>
          <w:sz w:val="28"/>
          <w:szCs w:val="28"/>
        </w:rPr>
        <w:t xml:space="preserve"> практически не изменилось, за исключением Республики Башкортостан, где количество обращений граждан снизилось на 29 %, и Республики Коми, где количество обращений граждан возросло на 33 %</w:t>
      </w:r>
      <w:r w:rsidRPr="00D002A7">
        <w:rPr>
          <w:sz w:val="28"/>
          <w:szCs w:val="28"/>
        </w:rPr>
        <w:t>.</w:t>
      </w:r>
    </w:p>
    <w:p w:rsidR="0052633C" w:rsidRPr="00D002A7" w:rsidRDefault="0052633C" w:rsidP="00AC0744">
      <w:pPr>
        <w:ind w:right="-426" w:firstLine="709"/>
        <w:jc w:val="both"/>
        <w:rPr>
          <w:sz w:val="16"/>
          <w:szCs w:val="16"/>
        </w:rPr>
      </w:pPr>
    </w:p>
    <w:p w:rsidR="0052633C" w:rsidRPr="00D002A7" w:rsidRDefault="00D002A7" w:rsidP="00824680">
      <w:pPr>
        <w:ind w:right="-3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65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3C" w:rsidRPr="00D002A7" w:rsidRDefault="0052633C" w:rsidP="00AC0744">
      <w:pPr>
        <w:ind w:right="-426" w:firstLine="709"/>
        <w:jc w:val="both"/>
        <w:rPr>
          <w:sz w:val="16"/>
          <w:szCs w:val="16"/>
        </w:rPr>
      </w:pPr>
    </w:p>
    <w:p w:rsidR="00EA1D31" w:rsidRPr="00D002A7" w:rsidRDefault="00EA1D31" w:rsidP="00166119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В 2014 году в Росавиацию поступило 247 обращений граждан, проживающих в Алтайском, Забайкальском, Камчатском, Краснодарском, Красноярском, Пермском, Приморском, Ставропольском и Хабаровском краях.</w:t>
      </w:r>
    </w:p>
    <w:p w:rsidR="00AA2169" w:rsidRPr="00D002A7" w:rsidRDefault="00EA1D31" w:rsidP="00166119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Анализ обращений граждан, проживающих в данных субъектах Российской Федерации, показывает, что в 2014 году</w:t>
      </w:r>
      <w:r w:rsidR="00AA2169" w:rsidRPr="00D002A7">
        <w:rPr>
          <w:bCs/>
          <w:iCs/>
          <w:sz w:val="28"/>
          <w:szCs w:val="28"/>
        </w:rPr>
        <w:t xml:space="preserve"> по сравнению с 2013 годом </w:t>
      </w:r>
      <w:r w:rsidRPr="00D002A7">
        <w:rPr>
          <w:bCs/>
          <w:iCs/>
          <w:sz w:val="28"/>
          <w:szCs w:val="28"/>
        </w:rPr>
        <w:t xml:space="preserve"> </w:t>
      </w:r>
      <w:r w:rsidR="00AA2169" w:rsidRPr="00D002A7">
        <w:rPr>
          <w:bCs/>
          <w:iCs/>
          <w:sz w:val="28"/>
          <w:szCs w:val="28"/>
        </w:rPr>
        <w:t>количество обращений, поступивших из Приморского края</w:t>
      </w:r>
      <w:r w:rsidR="00DC6EB9" w:rsidRPr="00D002A7">
        <w:rPr>
          <w:bCs/>
          <w:iCs/>
          <w:sz w:val="28"/>
          <w:szCs w:val="28"/>
        </w:rPr>
        <w:t>,</w:t>
      </w:r>
      <w:r w:rsidR="00AA2169" w:rsidRPr="00D002A7">
        <w:rPr>
          <w:bCs/>
          <w:iCs/>
          <w:sz w:val="28"/>
          <w:szCs w:val="28"/>
        </w:rPr>
        <w:t xml:space="preserve"> увеличилось в 16 раз, из Алтайского края в 1,5 раза. Количество обращений, поступивших в Росавиацию в 2014 году из других крае</w:t>
      </w:r>
      <w:r w:rsidR="00DC6EB9" w:rsidRPr="00D002A7">
        <w:rPr>
          <w:bCs/>
          <w:iCs/>
          <w:sz w:val="28"/>
          <w:szCs w:val="28"/>
        </w:rPr>
        <w:t>в</w:t>
      </w:r>
      <w:r w:rsidR="00AA2169" w:rsidRPr="00D002A7">
        <w:rPr>
          <w:bCs/>
          <w:iCs/>
          <w:sz w:val="28"/>
          <w:szCs w:val="28"/>
        </w:rPr>
        <w:t>, по сравнению с 2013 годом значительно не изменилось.</w:t>
      </w:r>
    </w:p>
    <w:p w:rsidR="0052633C" w:rsidRPr="00D002A7" w:rsidRDefault="0052633C" w:rsidP="00AC0744">
      <w:pPr>
        <w:ind w:right="-426" w:firstLine="709"/>
        <w:jc w:val="both"/>
        <w:rPr>
          <w:sz w:val="16"/>
          <w:szCs w:val="16"/>
        </w:rPr>
      </w:pPr>
    </w:p>
    <w:p w:rsidR="0052633C" w:rsidRPr="00D002A7" w:rsidRDefault="00D002A7" w:rsidP="002F6B11">
      <w:pPr>
        <w:ind w:right="-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0" cy="3057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47" w:rsidRPr="00D002A7" w:rsidRDefault="00E65D47" w:rsidP="00E65D47">
      <w:pPr>
        <w:ind w:right="-426" w:firstLine="709"/>
        <w:jc w:val="both"/>
        <w:rPr>
          <w:sz w:val="6"/>
          <w:szCs w:val="6"/>
        </w:rPr>
      </w:pPr>
    </w:p>
    <w:p w:rsidR="00E65D47" w:rsidRPr="00D002A7" w:rsidRDefault="00E65D47" w:rsidP="00E65D47">
      <w:pPr>
        <w:ind w:firstLine="709"/>
        <w:jc w:val="both"/>
        <w:rPr>
          <w:bCs/>
          <w:iCs/>
          <w:sz w:val="28"/>
          <w:szCs w:val="28"/>
        </w:rPr>
        <w:sectPr w:rsidR="00E65D47" w:rsidRPr="00D002A7" w:rsidSect="000E295C">
          <w:footerReference w:type="even" r:id="rId10"/>
          <w:footerReference w:type="default" r:id="rId11"/>
          <w:pgSz w:w="11906" w:h="16838"/>
          <w:pgMar w:top="1134" w:right="567" w:bottom="1134" w:left="1134" w:header="709" w:footer="272" w:gutter="0"/>
          <w:cols w:space="708"/>
          <w:titlePg/>
          <w:docGrid w:linePitch="360"/>
        </w:sectPr>
      </w:pPr>
    </w:p>
    <w:p w:rsidR="00E65D47" w:rsidRPr="00D002A7" w:rsidRDefault="00E65D47" w:rsidP="00E65D47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В 2014 году в Росавиацию поступило 2 817 обращений граждан из различных областей Российской Федерации.</w:t>
      </w:r>
    </w:p>
    <w:p w:rsidR="00E65D47" w:rsidRPr="00D002A7" w:rsidRDefault="00E65D47" w:rsidP="00E65D47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Анализ обращений граждан, проживающих в данных субъектах Российской Федерации, показывает, что в 2014 году по сравнению с 2013 годом значительно увеличилось количество обращений от жителей: Амурской области (с 3 до 23), Курской области (с 1 до 31), Мурманской области (с 4 до 24), Рязанской области (с 4 до 25), Саратовской области (с 39 по 59), Тамбовской области (с 2 до 32), Тюменской области (с 15 до 45).</w:t>
      </w:r>
    </w:p>
    <w:p w:rsidR="00E65D47" w:rsidRPr="00D002A7" w:rsidRDefault="00E65D47" w:rsidP="00E65D47">
      <w:pPr>
        <w:ind w:right="-426" w:firstLine="709"/>
        <w:jc w:val="both"/>
        <w:rPr>
          <w:bCs/>
          <w:iCs/>
          <w:sz w:val="28"/>
          <w:szCs w:val="28"/>
        </w:rPr>
      </w:pPr>
    </w:p>
    <w:p w:rsidR="00E65D47" w:rsidRPr="00D002A7" w:rsidRDefault="00D002A7" w:rsidP="00E65D47">
      <w:pPr>
        <w:ind w:right="-426"/>
        <w:jc w:val="both"/>
        <w:rPr>
          <w:bCs/>
          <w:iCs/>
          <w:sz w:val="28"/>
          <w:szCs w:val="28"/>
        </w:rPr>
        <w:sectPr w:rsidR="00E65D47" w:rsidRPr="00D002A7" w:rsidSect="007C16DD">
          <w:pgSz w:w="16838" w:h="11906" w:orient="landscape"/>
          <w:pgMar w:top="1134" w:right="1134" w:bottom="567" w:left="1134" w:header="709" w:footer="272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9201150" cy="47815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5530" w:rsidRPr="00D002A7" w:rsidRDefault="00355530" w:rsidP="00355530">
      <w:pPr>
        <w:ind w:right="-1"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 xml:space="preserve">Традиционно высоким остается показатель количества обращений граждан, проживающих в Московской области. </w:t>
      </w:r>
    </w:p>
    <w:p w:rsidR="00766DA5" w:rsidRPr="00D002A7" w:rsidRDefault="00766DA5" w:rsidP="00355530">
      <w:pPr>
        <w:ind w:right="-1"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 xml:space="preserve">В 2014 году количество обращений граждан, проживающих на территории Московской области, увеличилось по сравнению с 2013 годом в 6 раз (с 348 обращений до 2 141). </w:t>
      </w:r>
    </w:p>
    <w:p w:rsidR="009B5370" w:rsidRPr="00D002A7" w:rsidRDefault="009B5370" w:rsidP="00DC6EB9">
      <w:pPr>
        <w:ind w:firstLine="709"/>
        <w:jc w:val="both"/>
        <w:rPr>
          <w:bCs/>
          <w:iCs/>
          <w:sz w:val="28"/>
          <w:szCs w:val="28"/>
        </w:rPr>
      </w:pPr>
    </w:p>
    <w:p w:rsidR="009B5370" w:rsidRPr="00D002A7" w:rsidRDefault="009C3A77" w:rsidP="009B5370">
      <w:pPr>
        <w:jc w:val="both"/>
        <w:rPr>
          <w:bCs/>
          <w:iCs/>
          <w:sz w:val="28"/>
          <w:szCs w:val="28"/>
        </w:rPr>
      </w:pPr>
      <w:r w:rsidRPr="009C3A77">
        <w:rPr>
          <w:noProof/>
        </w:rPr>
        <w:drawing>
          <wp:inline distT="0" distB="0" distL="0" distR="0">
            <wp:extent cx="6404826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165" cy="29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70" w:rsidRPr="00D002A7" w:rsidRDefault="009B5370" w:rsidP="00DC6EB9">
      <w:pPr>
        <w:ind w:firstLine="709"/>
        <w:jc w:val="both"/>
        <w:rPr>
          <w:bCs/>
          <w:iCs/>
          <w:sz w:val="28"/>
          <w:szCs w:val="28"/>
        </w:rPr>
      </w:pPr>
    </w:p>
    <w:p w:rsidR="00DC6EB9" w:rsidRPr="00D002A7" w:rsidRDefault="00DC6EB9" w:rsidP="00DC6EB9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В 2014 году в Росавиацию поступило 1 230 обращений граждан из Москвы, Санкт-Петербурга, Севастополя.</w:t>
      </w:r>
    </w:p>
    <w:p w:rsidR="00DC6EB9" w:rsidRPr="00D002A7" w:rsidRDefault="00DC6EB9" w:rsidP="00DC6EB9">
      <w:pPr>
        <w:ind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В 2014 году количество обращений от жителей Москвы по сравнению с 2013 годом увеличилось более чем в 1,5 раза (с 568 обращений до 1 020).</w:t>
      </w:r>
    </w:p>
    <w:p w:rsidR="00355530" w:rsidRPr="00D002A7" w:rsidRDefault="00355530" w:rsidP="00AC0744">
      <w:pPr>
        <w:ind w:right="-426" w:firstLine="709"/>
        <w:jc w:val="both"/>
        <w:rPr>
          <w:bCs/>
          <w:iCs/>
          <w:sz w:val="28"/>
          <w:szCs w:val="28"/>
        </w:rPr>
      </w:pPr>
    </w:p>
    <w:p w:rsidR="00355530" w:rsidRPr="00D002A7" w:rsidRDefault="00D002A7" w:rsidP="00F4423F">
      <w:pPr>
        <w:ind w:right="-426"/>
        <w:jc w:val="both"/>
        <w:rPr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438900" cy="376237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30" w:rsidRPr="00D002A7" w:rsidRDefault="00355530" w:rsidP="00AC0744">
      <w:pPr>
        <w:ind w:right="-426" w:firstLine="709"/>
        <w:jc w:val="both"/>
        <w:rPr>
          <w:bCs/>
          <w:iCs/>
          <w:sz w:val="28"/>
          <w:szCs w:val="28"/>
        </w:rPr>
      </w:pPr>
    </w:p>
    <w:p w:rsidR="00355530" w:rsidRPr="00D002A7" w:rsidRDefault="00CF4870" w:rsidP="00020C0D">
      <w:pPr>
        <w:ind w:right="-1" w:firstLine="709"/>
        <w:jc w:val="both"/>
        <w:rPr>
          <w:bCs/>
          <w:iCs/>
          <w:sz w:val="28"/>
          <w:szCs w:val="28"/>
        </w:rPr>
      </w:pPr>
      <w:r w:rsidRPr="00D002A7">
        <w:rPr>
          <w:bCs/>
          <w:iCs/>
          <w:sz w:val="28"/>
          <w:szCs w:val="28"/>
        </w:rPr>
        <w:t>Кроме того, в 2014 году Федеральным агентством воздушного транспорта было рассмотрено 23 обращения</w:t>
      </w:r>
      <w:r w:rsidR="00020C0D" w:rsidRPr="00D002A7">
        <w:rPr>
          <w:bCs/>
          <w:iCs/>
          <w:sz w:val="28"/>
          <w:szCs w:val="28"/>
        </w:rPr>
        <w:t>, поступивших от</w:t>
      </w:r>
      <w:r w:rsidRPr="00D002A7">
        <w:rPr>
          <w:bCs/>
          <w:iCs/>
          <w:sz w:val="28"/>
          <w:szCs w:val="28"/>
        </w:rPr>
        <w:t xml:space="preserve"> граждан иностранных государств</w:t>
      </w:r>
      <w:r w:rsidR="00020C0D" w:rsidRPr="00D002A7">
        <w:rPr>
          <w:bCs/>
          <w:iCs/>
          <w:sz w:val="28"/>
          <w:szCs w:val="28"/>
        </w:rPr>
        <w:t>, и 939 обращений от граждан, не указавших регион проживания.</w:t>
      </w:r>
    </w:p>
    <w:p w:rsidR="00020C0D" w:rsidRPr="00D002A7" w:rsidRDefault="00020C0D" w:rsidP="00020C0D">
      <w:pPr>
        <w:ind w:right="-1" w:firstLine="709"/>
        <w:jc w:val="both"/>
        <w:rPr>
          <w:bCs/>
          <w:iCs/>
          <w:sz w:val="28"/>
          <w:szCs w:val="28"/>
        </w:rPr>
      </w:pPr>
    </w:p>
    <w:p w:rsidR="00D002A7" w:rsidRPr="00D002A7" w:rsidRDefault="00D002A7" w:rsidP="00D002A7">
      <w:pPr>
        <w:ind w:right="-1" w:firstLine="709"/>
        <w:jc w:val="both"/>
        <w:rPr>
          <w:sz w:val="28"/>
          <w:szCs w:val="28"/>
        </w:rPr>
      </w:pPr>
      <w:r w:rsidRPr="00D002A7">
        <w:rPr>
          <w:color w:val="000000"/>
          <w:sz w:val="28"/>
          <w:szCs w:val="28"/>
        </w:rPr>
        <w:t xml:space="preserve">В </w:t>
      </w:r>
      <w:r w:rsidRPr="00D002A7">
        <w:rPr>
          <w:rStyle w:val="a6"/>
          <w:i w:val="0"/>
          <w:sz w:val="26"/>
          <w:szCs w:val="26"/>
        </w:rPr>
        <w:t xml:space="preserve"> </w:t>
      </w:r>
      <w:r w:rsidRPr="00D002A7">
        <w:rPr>
          <w:rStyle w:val="a6"/>
          <w:i w:val="0"/>
          <w:sz w:val="28"/>
          <w:szCs w:val="28"/>
        </w:rPr>
        <w:t>целях реализации</w:t>
      </w:r>
      <w:r w:rsidRPr="00D002A7">
        <w:rPr>
          <w:sz w:val="28"/>
          <w:szCs w:val="28"/>
        </w:rPr>
        <w:t xml:space="preserve"> положений Федерального закона Российской Федерации от 02.05.2006 № 59-ФЗ «О порядке рассмотрения обращений граждан Российской Федерации» в рассмотрении обращений граждан, направленных из различных субъектов Российской Федерации, принимают участия должностные лица межрегиональных территориальных управлений воздушного транспорта Росавиации.</w:t>
      </w:r>
    </w:p>
    <w:p w:rsidR="00D002A7" w:rsidRPr="00D002A7" w:rsidRDefault="00D002A7" w:rsidP="00D002A7">
      <w:pPr>
        <w:ind w:right="-1"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Статистические данные о количестве обращений граждан, рассмотренных межрегиональными территориальными управлениями воздушного транспорта Росавиации в 2014 году, приведены в диаграмме.</w:t>
      </w:r>
    </w:p>
    <w:p w:rsidR="00355530" w:rsidRPr="00D002A7" w:rsidRDefault="00355530" w:rsidP="00AC0744">
      <w:pPr>
        <w:ind w:right="-426" w:firstLine="709"/>
        <w:jc w:val="both"/>
        <w:rPr>
          <w:bCs/>
          <w:iCs/>
          <w:sz w:val="28"/>
          <w:szCs w:val="28"/>
        </w:rPr>
      </w:pPr>
    </w:p>
    <w:p w:rsidR="00355530" w:rsidRPr="00D002A7" w:rsidRDefault="00A80248" w:rsidP="001B7B1A">
      <w:pPr>
        <w:ind w:right="-426"/>
        <w:jc w:val="both"/>
        <w:rPr>
          <w:sz w:val="28"/>
          <w:szCs w:val="28"/>
        </w:rPr>
      </w:pPr>
      <w:r w:rsidRPr="00A80248">
        <w:rPr>
          <w:noProof/>
        </w:rPr>
        <w:drawing>
          <wp:inline distT="0" distB="0" distL="0" distR="0">
            <wp:extent cx="6444195" cy="465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530" cy="465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3C" w:rsidRPr="00D002A7" w:rsidRDefault="0052633C" w:rsidP="0068123E">
      <w:pPr>
        <w:tabs>
          <w:tab w:val="left" w:pos="7270"/>
        </w:tabs>
        <w:ind w:right="-426" w:firstLine="709"/>
        <w:jc w:val="both"/>
        <w:rPr>
          <w:sz w:val="28"/>
          <w:szCs w:val="28"/>
        </w:rPr>
      </w:pPr>
    </w:p>
    <w:p w:rsidR="00D002A7" w:rsidRPr="00D002A7" w:rsidRDefault="00D002A7" w:rsidP="00D002A7">
      <w:pPr>
        <w:ind w:right="-426"/>
        <w:jc w:val="center"/>
        <w:rPr>
          <w:b/>
          <w:sz w:val="28"/>
          <w:szCs w:val="28"/>
        </w:rPr>
      </w:pPr>
      <w:r w:rsidRPr="00D002A7">
        <w:rPr>
          <w:b/>
          <w:sz w:val="28"/>
          <w:szCs w:val="28"/>
        </w:rPr>
        <w:t xml:space="preserve">Тематический анализ обращений граждан </w:t>
      </w:r>
    </w:p>
    <w:p w:rsidR="00D002A7" w:rsidRPr="00D002A7" w:rsidRDefault="00D002A7" w:rsidP="00D002A7">
      <w:pPr>
        <w:ind w:right="-426" w:firstLine="709"/>
        <w:jc w:val="both"/>
        <w:rPr>
          <w:sz w:val="28"/>
          <w:szCs w:val="28"/>
        </w:rPr>
      </w:pPr>
    </w:p>
    <w:p w:rsidR="00D002A7" w:rsidRPr="00D002A7" w:rsidRDefault="00D002A7" w:rsidP="00D002A7">
      <w:pPr>
        <w:ind w:firstLine="709"/>
        <w:jc w:val="both"/>
        <w:rPr>
          <w:rStyle w:val="a6"/>
          <w:sz w:val="28"/>
          <w:szCs w:val="28"/>
        </w:rPr>
      </w:pPr>
      <w:r w:rsidRPr="00D002A7">
        <w:rPr>
          <w:rStyle w:val="a6"/>
          <w:b/>
          <w:bCs/>
          <w:sz w:val="28"/>
          <w:szCs w:val="28"/>
        </w:rPr>
        <w:t>Статистика по темам обращений</w:t>
      </w:r>
    </w:p>
    <w:p w:rsidR="00D002A7" w:rsidRPr="00D002A7" w:rsidRDefault="00D002A7" w:rsidP="00D002A7">
      <w:pPr>
        <w:ind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В 2014 году граждане обращались в Росавиацию по тематикам: государство, общество, политика (порядка 14,8 % от общего количества обращений); социальная сфера (около 25 % от общего количества обращений); экономика (более 50 % от общего количества обращений); оборона, безопасность, законность (0,05 % от общего количества обращений); жилищно-коммунальная сфера (0,7 % от общего количества обращений); иные вопросы (более 9 % от общего количества обращений).</w:t>
      </w:r>
    </w:p>
    <w:p w:rsidR="00D002A7" w:rsidRPr="00D002A7" w:rsidRDefault="00D002A7" w:rsidP="00D002A7">
      <w:pPr>
        <w:ind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Наиболее актуальными вопросами для граждан являлись: трудоустройство в органах, организациях и на предприятиях (8,4 % от общего количества обращений);</w:t>
      </w:r>
      <w:r w:rsidRPr="00D002A7">
        <w:rPr>
          <w:color w:val="0D0D0D"/>
          <w:sz w:val="28"/>
          <w:szCs w:val="28"/>
        </w:rPr>
        <w:t xml:space="preserve"> транспортное обслуживание населения (вопросы сервиса, удобство и безопасность пассажирских перевозок) (23 % от общего количества обращений); вопросы, связанные с </w:t>
      </w:r>
      <w:r w:rsidRPr="00D002A7">
        <w:rPr>
          <w:sz w:val="28"/>
          <w:szCs w:val="28"/>
        </w:rPr>
        <w:t xml:space="preserve">тарифами, сборами и льготами на транспортные услуги (7,2 % от общего количества обращений). </w:t>
      </w:r>
    </w:p>
    <w:p w:rsidR="00D002A7" w:rsidRPr="00D002A7" w:rsidRDefault="00D002A7" w:rsidP="00D002A7">
      <w:pPr>
        <w:ind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 xml:space="preserve">В 2014 году существенно возросло количество обращений по вопросам: </w:t>
      </w:r>
      <w:r w:rsidRPr="00D002A7">
        <w:rPr>
          <w:color w:val="0D0D0D"/>
          <w:sz w:val="28"/>
          <w:szCs w:val="28"/>
        </w:rPr>
        <w:t>транспортного обслуживания населения (вопросы сервиса, удобство и безопасность пассажирских перевозок)</w:t>
      </w:r>
      <w:r w:rsidRPr="00D002A7">
        <w:rPr>
          <w:sz w:val="28"/>
          <w:szCs w:val="28"/>
        </w:rPr>
        <w:t xml:space="preserve"> (в 1,5 раза по сравнению с 2013 годом); увольнения и восстановления на работе (в 25 раз по сравнению с 2013 годом); ценообразования, государственной политики в области цен (в 36 раз по сравнению с 2013 годом). </w:t>
      </w:r>
    </w:p>
    <w:p w:rsidR="00D002A7" w:rsidRPr="00D002A7" w:rsidRDefault="00D002A7" w:rsidP="00D002A7">
      <w:pPr>
        <w:ind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В 2014 году по сравнению с 2013 годом значительно снизилось количество обращений по вопросам: трудоустройство в органах, организациях и на предприятиях (с 17,2 % в 2013 году до 8,4 % в 2014 году); тарифы, сборы и льготы на транспортные услуги (с 12,6 % в 2013 году до 7,2 % в 2014); воздушный транспорт (кроме перевозок пассажиров) (с 13,6 % в 2013 году до 6,8 % в 2014).</w:t>
      </w:r>
    </w:p>
    <w:p w:rsidR="0068123E" w:rsidRPr="00D002A7" w:rsidRDefault="0068123E" w:rsidP="00AC0744">
      <w:pPr>
        <w:ind w:right="-426" w:firstLine="709"/>
        <w:jc w:val="both"/>
        <w:rPr>
          <w:sz w:val="28"/>
          <w:szCs w:val="28"/>
        </w:rPr>
      </w:pPr>
    </w:p>
    <w:p w:rsidR="00581B09" w:rsidRPr="00D002A7" w:rsidRDefault="00581B09" w:rsidP="00581B09">
      <w:pPr>
        <w:jc w:val="center"/>
        <w:rPr>
          <w:b/>
          <w:sz w:val="28"/>
          <w:szCs w:val="28"/>
        </w:rPr>
      </w:pPr>
      <w:r w:rsidRPr="00D002A7">
        <w:rPr>
          <w:b/>
          <w:color w:val="000000"/>
          <w:sz w:val="28"/>
          <w:szCs w:val="28"/>
        </w:rPr>
        <w:t>Анализ</w:t>
      </w:r>
      <w:r w:rsidR="000E093B" w:rsidRPr="00D002A7">
        <w:rPr>
          <w:b/>
          <w:color w:val="000000"/>
          <w:sz w:val="28"/>
          <w:szCs w:val="28"/>
        </w:rPr>
        <w:t xml:space="preserve"> тем</w:t>
      </w:r>
      <w:r w:rsidRPr="00D002A7">
        <w:rPr>
          <w:b/>
          <w:color w:val="000000"/>
          <w:sz w:val="28"/>
          <w:szCs w:val="28"/>
        </w:rPr>
        <w:t xml:space="preserve"> </w:t>
      </w:r>
      <w:r w:rsidR="00B07F3A" w:rsidRPr="00D002A7">
        <w:rPr>
          <w:b/>
          <w:color w:val="000000"/>
          <w:sz w:val="28"/>
          <w:szCs w:val="28"/>
        </w:rPr>
        <w:t xml:space="preserve">обращений и </w:t>
      </w:r>
      <w:r w:rsidR="00E94082" w:rsidRPr="00D002A7">
        <w:rPr>
          <w:b/>
          <w:color w:val="000000"/>
          <w:sz w:val="28"/>
          <w:szCs w:val="28"/>
        </w:rPr>
        <w:t>вопросов</w:t>
      </w:r>
      <w:r w:rsidR="00B07F3A" w:rsidRPr="00D002A7">
        <w:rPr>
          <w:b/>
          <w:color w:val="000000"/>
          <w:sz w:val="28"/>
          <w:szCs w:val="28"/>
        </w:rPr>
        <w:t xml:space="preserve"> граждан, поступивших </w:t>
      </w:r>
      <w:r w:rsidRPr="00D002A7">
        <w:rPr>
          <w:b/>
          <w:color w:val="000000"/>
          <w:sz w:val="28"/>
          <w:szCs w:val="28"/>
        </w:rPr>
        <w:t>в 201</w:t>
      </w:r>
      <w:r w:rsidR="0001241C" w:rsidRPr="00D002A7">
        <w:rPr>
          <w:b/>
          <w:color w:val="000000"/>
          <w:sz w:val="28"/>
          <w:szCs w:val="28"/>
        </w:rPr>
        <w:t xml:space="preserve">4 </w:t>
      </w:r>
      <w:r w:rsidRPr="00D002A7">
        <w:rPr>
          <w:b/>
          <w:color w:val="000000"/>
          <w:sz w:val="28"/>
          <w:szCs w:val="28"/>
        </w:rPr>
        <w:t xml:space="preserve">году </w:t>
      </w:r>
      <w:r w:rsidRPr="00D002A7">
        <w:rPr>
          <w:b/>
          <w:sz w:val="28"/>
          <w:szCs w:val="28"/>
        </w:rPr>
        <w:t xml:space="preserve">в сравнении с </w:t>
      </w:r>
      <w:r w:rsidR="00E94082" w:rsidRPr="00D002A7">
        <w:rPr>
          <w:b/>
          <w:sz w:val="28"/>
          <w:szCs w:val="28"/>
        </w:rPr>
        <w:t>предыдущими годами</w:t>
      </w:r>
    </w:p>
    <w:p w:rsidR="008D2157" w:rsidRPr="00D002A7" w:rsidRDefault="008D2157" w:rsidP="00510B31">
      <w:pPr>
        <w:ind w:firstLine="709"/>
        <w:jc w:val="both"/>
        <w:rPr>
          <w:rStyle w:val="a6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963"/>
        <w:gridCol w:w="1134"/>
        <w:gridCol w:w="1134"/>
        <w:gridCol w:w="1134"/>
        <w:gridCol w:w="1417"/>
      </w:tblGrid>
      <w:tr w:rsidR="00BB2113" w:rsidRPr="00D002A7" w:rsidTr="007C16DD">
        <w:trPr>
          <w:trHeight w:val="20"/>
          <w:tblHeader/>
        </w:trPr>
        <w:tc>
          <w:tcPr>
            <w:tcW w:w="4532" w:type="dxa"/>
            <w:shd w:val="clear" w:color="auto" w:fill="348DA5"/>
            <w:noWrap/>
            <w:hideMark/>
          </w:tcPr>
          <w:p w:rsidR="008D2157" w:rsidRPr="00D002A7" w:rsidRDefault="008D2157" w:rsidP="007C16DD">
            <w:pPr>
              <w:spacing w:after="200" w:line="276" w:lineRule="auto"/>
              <w:rPr>
                <w:b/>
                <w:color w:val="FFFFFF"/>
                <w:sz w:val="26"/>
                <w:szCs w:val="26"/>
              </w:rPr>
            </w:pPr>
            <w:r w:rsidRPr="00D002A7">
              <w:rPr>
                <w:b/>
                <w:color w:val="FFFFFF"/>
                <w:sz w:val="26"/>
                <w:szCs w:val="26"/>
              </w:rPr>
              <w:t>ТЕМАТИЧЕСКИЕ РАЗДЕЛЫ</w:t>
            </w:r>
          </w:p>
        </w:tc>
        <w:tc>
          <w:tcPr>
            <w:tcW w:w="963" w:type="dxa"/>
            <w:shd w:val="clear" w:color="auto" w:fill="348DA5"/>
          </w:tcPr>
          <w:p w:rsidR="008D2157" w:rsidRPr="00D002A7" w:rsidRDefault="00B07F3A" w:rsidP="007C16DD">
            <w:pPr>
              <w:spacing w:after="200"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2010</w:t>
            </w:r>
          </w:p>
        </w:tc>
        <w:tc>
          <w:tcPr>
            <w:tcW w:w="1134" w:type="dxa"/>
            <w:shd w:val="clear" w:color="auto" w:fill="348DA5"/>
          </w:tcPr>
          <w:p w:rsidR="008D2157" w:rsidRPr="00D002A7" w:rsidRDefault="00B07F3A" w:rsidP="007C16DD">
            <w:pPr>
              <w:spacing w:after="200"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2011</w:t>
            </w:r>
          </w:p>
        </w:tc>
        <w:tc>
          <w:tcPr>
            <w:tcW w:w="1134" w:type="dxa"/>
            <w:shd w:val="clear" w:color="auto" w:fill="348DA5"/>
          </w:tcPr>
          <w:p w:rsidR="008D2157" w:rsidRPr="00D002A7" w:rsidRDefault="00B07F3A" w:rsidP="007C16DD">
            <w:pPr>
              <w:spacing w:after="200"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2012</w:t>
            </w:r>
          </w:p>
        </w:tc>
        <w:tc>
          <w:tcPr>
            <w:tcW w:w="1134" w:type="dxa"/>
            <w:shd w:val="clear" w:color="auto" w:fill="348DA5"/>
          </w:tcPr>
          <w:p w:rsidR="008D2157" w:rsidRPr="00D002A7" w:rsidRDefault="00B07F3A" w:rsidP="007C16DD">
            <w:pPr>
              <w:spacing w:after="200"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2013</w:t>
            </w:r>
          </w:p>
        </w:tc>
        <w:tc>
          <w:tcPr>
            <w:tcW w:w="1417" w:type="dxa"/>
            <w:shd w:val="clear" w:color="auto" w:fill="348DA5"/>
            <w:noWrap/>
            <w:hideMark/>
          </w:tcPr>
          <w:p w:rsidR="008D2157" w:rsidRPr="00D002A7" w:rsidRDefault="00B07F3A" w:rsidP="007C16DD">
            <w:pPr>
              <w:spacing w:after="200"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2014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DE9D9"/>
            <w:noWrap/>
            <w:hideMark/>
          </w:tcPr>
          <w:p w:rsidR="008D2157" w:rsidRPr="00D002A7" w:rsidRDefault="008D2157" w:rsidP="007C16DD">
            <w:pPr>
              <w:spacing w:after="200" w:line="276" w:lineRule="auto"/>
              <w:rPr>
                <w:b/>
                <w:bCs/>
                <w:color w:val="0000CC"/>
                <w:sz w:val="28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Государство,</w:t>
            </w:r>
            <w:r w:rsidR="00C86E90" w:rsidRPr="00D002A7">
              <w:rPr>
                <w:b/>
                <w:bCs/>
                <w:color w:val="0000CC"/>
                <w:szCs w:val="28"/>
              </w:rPr>
              <w:t xml:space="preserve"> </w:t>
            </w:r>
            <w:r w:rsidRPr="00D002A7">
              <w:rPr>
                <w:b/>
                <w:bCs/>
                <w:color w:val="0000CC"/>
                <w:szCs w:val="28"/>
              </w:rPr>
              <w:t>общество,</w:t>
            </w:r>
            <w:r w:rsidR="00BB2113" w:rsidRPr="00D002A7">
              <w:rPr>
                <w:b/>
                <w:bCs/>
                <w:color w:val="0000CC"/>
                <w:szCs w:val="28"/>
              </w:rPr>
              <w:t xml:space="preserve"> </w:t>
            </w:r>
            <w:r w:rsidRPr="00D002A7">
              <w:rPr>
                <w:b/>
                <w:bCs/>
                <w:color w:val="0000CC"/>
                <w:szCs w:val="28"/>
              </w:rPr>
              <w:t>политика</w:t>
            </w:r>
          </w:p>
        </w:tc>
        <w:tc>
          <w:tcPr>
            <w:tcW w:w="963" w:type="dxa"/>
            <w:shd w:val="clear" w:color="auto" w:fill="FDE9D9"/>
          </w:tcPr>
          <w:p w:rsidR="008D2157" w:rsidRPr="00D002A7" w:rsidRDefault="00A27841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55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27841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61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27841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36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27841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50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8D2157" w:rsidRPr="00D002A7" w:rsidRDefault="008D2157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795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EF4EC"/>
            <w:noWrap/>
            <w:hideMark/>
          </w:tcPr>
          <w:p w:rsidR="008D2157" w:rsidRPr="00D002A7" w:rsidRDefault="00364342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63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250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DE9D9"/>
            <w:noWrap/>
            <w:hideMark/>
          </w:tcPr>
          <w:p w:rsidR="00364342" w:rsidRPr="00D002A7" w:rsidRDefault="00364342" w:rsidP="007C16DD">
            <w:pPr>
              <w:spacing w:after="200"/>
              <w:jc w:val="both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Государственные награды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36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18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28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8C4587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18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noWrap/>
            <w:hideMark/>
          </w:tcPr>
          <w:p w:rsidR="00364342" w:rsidRPr="00D002A7" w:rsidRDefault="00364342" w:rsidP="009C3A77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Государственная программа «Развитие авиационной промышленности на 2013</w:t>
            </w:r>
            <w:r w:rsidR="009C3A77">
              <w:rPr>
                <w:b/>
                <w:bCs/>
                <w:color w:val="000000"/>
                <w:sz w:val="18"/>
                <w:szCs w:val="28"/>
              </w:rPr>
              <w:t xml:space="preserve"> - </w:t>
            </w:r>
            <w:r w:rsidRPr="00D002A7">
              <w:rPr>
                <w:b/>
                <w:bCs/>
                <w:color w:val="000000"/>
                <w:sz w:val="18"/>
                <w:szCs w:val="28"/>
              </w:rPr>
              <w:t>2025 годы»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A54E02" w:rsidP="007C16DD">
            <w:pPr>
              <w:spacing w:after="200" w:line="276" w:lineRule="auto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102</w:t>
            </w:r>
          </w:p>
        </w:tc>
      </w:tr>
      <w:tr w:rsidR="00DB0773" w:rsidRPr="00D002A7" w:rsidTr="007C16DD">
        <w:trPr>
          <w:trHeight w:val="20"/>
        </w:trPr>
        <w:tc>
          <w:tcPr>
            <w:tcW w:w="4532" w:type="dxa"/>
            <w:shd w:val="clear" w:color="auto" w:fill="FDE9D9"/>
            <w:noWrap/>
            <w:hideMark/>
          </w:tcPr>
          <w:p w:rsidR="00DB0773" w:rsidRPr="00D002A7" w:rsidRDefault="00DB0773">
            <w:pPr>
              <w:rPr>
                <w:b/>
                <w:bCs/>
                <w:color w:val="000000"/>
              </w:rPr>
            </w:pPr>
            <w:r w:rsidRPr="00D002A7">
              <w:rPr>
                <w:b/>
                <w:bCs/>
                <w:color w:val="000000"/>
                <w:sz w:val="18"/>
              </w:rPr>
              <w:t>Право на вознаграждение за труд</w:t>
            </w:r>
          </w:p>
        </w:tc>
        <w:tc>
          <w:tcPr>
            <w:tcW w:w="963" w:type="dxa"/>
            <w:shd w:val="clear" w:color="auto" w:fill="FDE9D9"/>
          </w:tcPr>
          <w:p w:rsidR="00DB0773" w:rsidRPr="00D002A7" w:rsidRDefault="00A54E02" w:rsidP="007C16DD">
            <w:pPr>
              <w:jc w:val="center"/>
              <w:rPr>
                <w:color w:val="000000"/>
                <w:sz w:val="22"/>
              </w:rPr>
            </w:pPr>
            <w:r w:rsidRPr="00D002A7">
              <w:rPr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jc w:val="center"/>
              <w:rPr>
                <w:color w:val="000000"/>
                <w:sz w:val="22"/>
              </w:rPr>
            </w:pPr>
            <w:r w:rsidRPr="00D002A7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jc w:val="center"/>
              <w:rPr>
                <w:color w:val="000000"/>
                <w:sz w:val="22"/>
              </w:rPr>
            </w:pPr>
            <w:r w:rsidRPr="00D002A7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jc w:val="center"/>
              <w:rPr>
                <w:color w:val="000000"/>
                <w:sz w:val="22"/>
              </w:rPr>
            </w:pPr>
            <w:r w:rsidRPr="00D002A7">
              <w:rPr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DB0773" w:rsidRPr="00D002A7" w:rsidRDefault="008C4587" w:rsidP="007C16DD">
            <w:pPr>
              <w:jc w:val="center"/>
              <w:rPr>
                <w:color w:val="000000"/>
                <w:sz w:val="22"/>
              </w:rPr>
            </w:pPr>
            <w:r w:rsidRPr="00D002A7">
              <w:rPr>
                <w:color w:val="000000"/>
                <w:sz w:val="22"/>
              </w:rPr>
              <w:t>425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EF4EC"/>
            <w:noWrap/>
            <w:hideMark/>
          </w:tcPr>
          <w:p w:rsidR="008D2157" w:rsidRPr="00D002A7" w:rsidRDefault="008D2157" w:rsidP="007C16DD">
            <w:pPr>
              <w:spacing w:after="200" w:line="276" w:lineRule="auto"/>
              <w:rPr>
                <w:b/>
                <w:bCs/>
                <w:color w:val="0000CC"/>
                <w:sz w:val="28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Социальная сфера</w:t>
            </w:r>
          </w:p>
        </w:tc>
        <w:tc>
          <w:tcPr>
            <w:tcW w:w="963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157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127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573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8D2157" w:rsidRPr="00D002A7" w:rsidRDefault="008D2157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1312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8D2157" w:rsidRPr="00D002A7" w:rsidRDefault="00D67F8F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63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300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8D2157" w:rsidRPr="00D002A7" w:rsidRDefault="00214322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Система высшего профессионального образования</w:t>
            </w:r>
          </w:p>
        </w:tc>
        <w:tc>
          <w:tcPr>
            <w:tcW w:w="963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75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259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DE9D9"/>
            <w:noWrap/>
            <w:hideMark/>
          </w:tcPr>
          <w:p w:rsidR="008D2157" w:rsidRPr="00D002A7" w:rsidRDefault="00DB0773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Трудоустройство в органах, организациях и на предприятиях</w:t>
            </w:r>
          </w:p>
        </w:tc>
        <w:tc>
          <w:tcPr>
            <w:tcW w:w="963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58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126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443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8D2157" w:rsidRPr="00D002A7" w:rsidRDefault="00A65B9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450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8D2157" w:rsidRPr="00D002A7" w:rsidRDefault="00DB0773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Выплата заработной платы</w:t>
            </w:r>
          </w:p>
        </w:tc>
        <w:tc>
          <w:tcPr>
            <w:tcW w:w="963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32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25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8D2157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105</w:t>
            </w:r>
          </w:p>
        </w:tc>
      </w:tr>
      <w:tr w:rsidR="00DB0773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DB0773" w:rsidRPr="00D002A7" w:rsidRDefault="00DB0773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Образовательный процесс.Укрепление материальной базы системы образования и финансирование</w:t>
            </w:r>
          </w:p>
        </w:tc>
        <w:tc>
          <w:tcPr>
            <w:tcW w:w="963" w:type="dxa"/>
            <w:shd w:val="clear" w:color="auto" w:fill="FDE9D9"/>
          </w:tcPr>
          <w:p w:rsidR="00DB0773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1134" w:type="dxa"/>
            <w:shd w:val="clear" w:color="auto" w:fill="FDE9D9"/>
          </w:tcPr>
          <w:p w:rsidR="00DB0773" w:rsidRPr="00D002A7" w:rsidRDefault="00A54E02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18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DB0773" w:rsidRPr="00D002A7" w:rsidRDefault="00A65B9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198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EF4EC"/>
            <w:noWrap/>
            <w:hideMark/>
          </w:tcPr>
          <w:p w:rsidR="008D2157" w:rsidRPr="00D002A7" w:rsidRDefault="008D2157" w:rsidP="007C16DD">
            <w:pPr>
              <w:spacing w:after="200"/>
              <w:rPr>
                <w:b/>
                <w:bCs/>
                <w:color w:val="0000CC"/>
                <w:sz w:val="28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Экономика</w:t>
            </w:r>
          </w:p>
        </w:tc>
        <w:tc>
          <w:tcPr>
            <w:tcW w:w="963" w:type="dxa"/>
            <w:shd w:val="clear" w:color="auto" w:fill="FEF4EC"/>
          </w:tcPr>
          <w:p w:rsidR="008D2157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1495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2711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1908</w:t>
            </w:r>
          </w:p>
        </w:tc>
        <w:tc>
          <w:tcPr>
            <w:tcW w:w="1134" w:type="dxa"/>
            <w:shd w:val="clear" w:color="auto" w:fill="FEF4EC"/>
          </w:tcPr>
          <w:p w:rsidR="008D2157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1580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8D2157" w:rsidRPr="00D002A7" w:rsidRDefault="008D2157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2716</w:t>
            </w:r>
          </w:p>
        </w:tc>
      </w:tr>
      <w:tr w:rsidR="008D2157" w:rsidRPr="00D002A7" w:rsidTr="007C16DD">
        <w:trPr>
          <w:trHeight w:val="20"/>
        </w:trPr>
        <w:tc>
          <w:tcPr>
            <w:tcW w:w="4532" w:type="dxa"/>
            <w:shd w:val="clear" w:color="auto" w:fill="FDE9D9"/>
            <w:noWrap/>
            <w:hideMark/>
          </w:tcPr>
          <w:p w:rsidR="008D2157" w:rsidRPr="00D002A7" w:rsidRDefault="008D0719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Налоговая служба: налоги, сборы и штрафы</w:t>
            </w:r>
          </w:p>
        </w:tc>
        <w:tc>
          <w:tcPr>
            <w:tcW w:w="963" w:type="dxa"/>
            <w:shd w:val="clear" w:color="auto" w:fill="FDE9D9"/>
          </w:tcPr>
          <w:p w:rsidR="008D2157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shd w:val="clear" w:color="auto" w:fill="FDE9D9"/>
          </w:tcPr>
          <w:p w:rsidR="008D2157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8D2157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380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364342" w:rsidRPr="00D002A7" w:rsidRDefault="00364342" w:rsidP="00574E5E">
            <w:pPr>
              <w:rPr>
                <w:b/>
                <w:bCs/>
                <w:color w:val="000000"/>
                <w:sz w:val="18"/>
              </w:rPr>
            </w:pPr>
            <w:r w:rsidRPr="00D002A7">
              <w:rPr>
                <w:b/>
                <w:bCs/>
                <w:color w:val="000000"/>
                <w:sz w:val="18"/>
              </w:rPr>
              <w:t>Ценообразование, государственная политика в области цен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180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Воздушный транспорт (кроме перевозок пассажиров)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126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306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217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363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D0D0D"/>
                <w:sz w:val="18"/>
                <w:szCs w:val="28"/>
              </w:rPr>
            </w:pPr>
            <w:r w:rsidRPr="00D002A7">
              <w:rPr>
                <w:b/>
                <w:bCs/>
                <w:color w:val="0D0D0D"/>
                <w:sz w:val="18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962</w:t>
            </w:r>
          </w:p>
          <w:p w:rsidR="0066724F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1655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1241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826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1230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00"/>
                <w:sz w:val="1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Тарифы, сборы и льготы на транспортные услуги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247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456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304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325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387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00"/>
                <w:sz w:val="18"/>
              </w:rPr>
            </w:pPr>
            <w:r w:rsidRPr="00D002A7">
              <w:rPr>
                <w:b/>
                <w:bCs/>
                <w:color w:val="000000"/>
                <w:sz w:val="18"/>
              </w:rPr>
              <w:t>Транспорт и экология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49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00"/>
                <w:sz w:val="18"/>
              </w:rPr>
            </w:pPr>
            <w:r w:rsidRPr="00D002A7">
              <w:rPr>
                <w:b/>
                <w:bCs/>
                <w:color w:val="000000"/>
                <w:sz w:val="18"/>
              </w:rPr>
              <w:t>Строительство и экология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30</w:t>
            </w:r>
          </w:p>
        </w:tc>
      </w:tr>
      <w:tr w:rsidR="009A03DA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9A03DA" w:rsidRPr="00D002A7" w:rsidRDefault="009A03DA" w:rsidP="007C16DD">
            <w:pPr>
              <w:spacing w:after="200"/>
              <w:rPr>
                <w:b/>
                <w:bCs/>
                <w:color w:val="000000"/>
                <w:sz w:val="18"/>
              </w:rPr>
            </w:pPr>
            <w:r w:rsidRPr="00D002A7">
              <w:rPr>
                <w:b/>
                <w:bCs/>
                <w:color w:val="000000"/>
                <w:sz w:val="18"/>
              </w:rPr>
              <w:t>Архивное дело</w:t>
            </w:r>
          </w:p>
        </w:tc>
        <w:tc>
          <w:tcPr>
            <w:tcW w:w="963" w:type="dxa"/>
            <w:shd w:val="clear" w:color="auto" w:fill="FEF4EC"/>
          </w:tcPr>
          <w:p w:rsidR="009A03DA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FEF4EC"/>
          </w:tcPr>
          <w:p w:rsidR="009A03DA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287</w:t>
            </w:r>
          </w:p>
        </w:tc>
        <w:tc>
          <w:tcPr>
            <w:tcW w:w="1134" w:type="dxa"/>
            <w:shd w:val="clear" w:color="auto" w:fill="FEF4EC"/>
          </w:tcPr>
          <w:p w:rsidR="009A03DA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136</w:t>
            </w:r>
          </w:p>
        </w:tc>
        <w:tc>
          <w:tcPr>
            <w:tcW w:w="1134" w:type="dxa"/>
            <w:shd w:val="clear" w:color="auto" w:fill="FEF4EC"/>
          </w:tcPr>
          <w:p w:rsidR="009A03DA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52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9A03DA" w:rsidRPr="00D002A7" w:rsidRDefault="0066724F" w:rsidP="007C16DD">
            <w:pPr>
              <w:spacing w:after="200"/>
              <w:jc w:val="center"/>
              <w:rPr>
                <w:color w:val="000000"/>
                <w:sz w:val="22"/>
                <w:szCs w:val="28"/>
              </w:rPr>
            </w:pPr>
            <w:r w:rsidRPr="00D002A7">
              <w:rPr>
                <w:color w:val="000000"/>
                <w:sz w:val="22"/>
                <w:szCs w:val="28"/>
              </w:rPr>
              <w:t>97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CC"/>
                <w:sz w:val="28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Оборона,безопасность,законность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1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4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364342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364342" w:rsidRPr="00D002A7" w:rsidRDefault="00DB0773" w:rsidP="007C16DD">
            <w:pPr>
              <w:spacing w:after="200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</w:rPr>
              <w:t>Борьба с коррупцией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3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364342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3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364342" w:rsidP="007C16DD">
            <w:pPr>
              <w:spacing w:after="200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Жилищно-коммунальная сфера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4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364342" w:rsidP="007C16DD">
            <w:pPr>
              <w:spacing w:after="200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35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EF4EC"/>
            <w:hideMark/>
          </w:tcPr>
          <w:p w:rsidR="00364342" w:rsidRPr="00D002A7" w:rsidRDefault="00B8230E" w:rsidP="007C16DD">
            <w:pPr>
              <w:spacing w:after="200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18"/>
                <w:szCs w:val="28"/>
              </w:rPr>
              <w:t>Кредиты, компенсации, субсидии, льготы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10</w:t>
            </w:r>
          </w:p>
        </w:tc>
      </w:tr>
      <w:tr w:rsidR="00364342" w:rsidRPr="00D002A7" w:rsidTr="007C16DD">
        <w:trPr>
          <w:trHeight w:val="20"/>
        </w:trPr>
        <w:tc>
          <w:tcPr>
            <w:tcW w:w="4532" w:type="dxa"/>
            <w:shd w:val="clear" w:color="auto" w:fill="FDE9D9"/>
            <w:hideMark/>
          </w:tcPr>
          <w:p w:rsidR="00364342" w:rsidRPr="00D002A7" w:rsidRDefault="000145C7" w:rsidP="007C16DD">
            <w:pPr>
              <w:spacing w:after="200"/>
              <w:rPr>
                <w:b/>
                <w:bCs/>
                <w:color w:val="0D0D0D"/>
                <w:sz w:val="28"/>
                <w:szCs w:val="28"/>
              </w:rPr>
            </w:pPr>
            <w:r w:rsidRPr="00D002A7">
              <w:rPr>
                <w:b/>
                <w:bCs/>
                <w:color w:val="0D0D0D"/>
                <w:sz w:val="18"/>
              </w:rPr>
              <w:t>Права дольщиков и соинвесторов жилищного строительства</w:t>
            </w:r>
          </w:p>
        </w:tc>
        <w:tc>
          <w:tcPr>
            <w:tcW w:w="963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FDE9D9"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1</w:t>
            </w:r>
          </w:p>
        </w:tc>
        <w:tc>
          <w:tcPr>
            <w:tcW w:w="1417" w:type="dxa"/>
            <w:shd w:val="clear" w:color="auto" w:fill="FDE9D9"/>
            <w:noWrap/>
            <w:hideMark/>
          </w:tcPr>
          <w:p w:rsidR="00364342" w:rsidRPr="00D002A7" w:rsidRDefault="0066724F" w:rsidP="007C16DD">
            <w:pPr>
              <w:spacing w:after="200"/>
              <w:jc w:val="center"/>
              <w:rPr>
                <w:color w:val="000000"/>
                <w:szCs w:val="28"/>
              </w:rPr>
            </w:pPr>
            <w:r w:rsidRPr="00D002A7">
              <w:rPr>
                <w:color w:val="000000"/>
                <w:szCs w:val="28"/>
              </w:rPr>
              <w:t>25</w:t>
            </w:r>
          </w:p>
        </w:tc>
      </w:tr>
      <w:tr w:rsidR="00BB2113" w:rsidRPr="00D002A7" w:rsidTr="007C16DD">
        <w:trPr>
          <w:trHeight w:val="20"/>
        </w:trPr>
        <w:tc>
          <w:tcPr>
            <w:tcW w:w="4532" w:type="dxa"/>
            <w:shd w:val="clear" w:color="auto" w:fill="FEF4EC"/>
            <w:noWrap/>
            <w:hideMark/>
          </w:tcPr>
          <w:p w:rsidR="00364342" w:rsidRPr="00D002A7" w:rsidRDefault="00364342" w:rsidP="007C16DD">
            <w:pPr>
              <w:spacing w:after="200" w:line="276" w:lineRule="auto"/>
              <w:rPr>
                <w:b/>
                <w:bCs/>
                <w:color w:val="0000CC"/>
                <w:sz w:val="28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Д</w:t>
            </w:r>
            <w:r w:rsidR="00E94082" w:rsidRPr="00D002A7">
              <w:rPr>
                <w:b/>
                <w:bCs/>
                <w:color w:val="0000CC"/>
                <w:szCs w:val="28"/>
              </w:rPr>
              <w:t>ругое</w:t>
            </w:r>
          </w:p>
        </w:tc>
        <w:tc>
          <w:tcPr>
            <w:tcW w:w="963" w:type="dxa"/>
            <w:shd w:val="clear" w:color="auto" w:fill="FEF4EC"/>
          </w:tcPr>
          <w:p w:rsidR="00364342" w:rsidRPr="00D002A7" w:rsidRDefault="0066724F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59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77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EF4EC"/>
          </w:tcPr>
          <w:p w:rsidR="00364342" w:rsidRPr="00D002A7" w:rsidRDefault="0066724F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331</w:t>
            </w:r>
          </w:p>
        </w:tc>
        <w:tc>
          <w:tcPr>
            <w:tcW w:w="1417" w:type="dxa"/>
            <w:shd w:val="clear" w:color="auto" w:fill="FEF4EC"/>
            <w:noWrap/>
            <w:hideMark/>
          </w:tcPr>
          <w:p w:rsidR="00364342" w:rsidRPr="00D002A7" w:rsidRDefault="00364342" w:rsidP="007C16DD">
            <w:pPr>
              <w:spacing w:after="200" w:line="276" w:lineRule="auto"/>
              <w:jc w:val="center"/>
              <w:rPr>
                <w:b/>
                <w:bCs/>
                <w:color w:val="0000CC"/>
                <w:szCs w:val="28"/>
              </w:rPr>
            </w:pPr>
            <w:r w:rsidRPr="00D002A7">
              <w:rPr>
                <w:b/>
                <w:bCs/>
                <w:color w:val="0000CC"/>
                <w:szCs w:val="28"/>
              </w:rPr>
              <w:t>498</w:t>
            </w:r>
          </w:p>
        </w:tc>
      </w:tr>
    </w:tbl>
    <w:p w:rsidR="008D2157" w:rsidRPr="00D002A7" w:rsidRDefault="008D2157" w:rsidP="00510B31">
      <w:pPr>
        <w:ind w:firstLine="709"/>
        <w:jc w:val="both"/>
        <w:rPr>
          <w:rStyle w:val="a6"/>
          <w:b/>
          <w:bCs/>
          <w:sz w:val="28"/>
          <w:szCs w:val="28"/>
        </w:rPr>
      </w:pPr>
    </w:p>
    <w:p w:rsidR="00D002A7" w:rsidRPr="00D002A7" w:rsidRDefault="00D002A7" w:rsidP="00D002A7">
      <w:pPr>
        <w:ind w:right="-1"/>
        <w:jc w:val="center"/>
        <w:rPr>
          <w:b/>
          <w:sz w:val="28"/>
          <w:szCs w:val="28"/>
        </w:rPr>
      </w:pPr>
      <w:r w:rsidRPr="00D002A7">
        <w:rPr>
          <w:b/>
          <w:sz w:val="28"/>
          <w:szCs w:val="28"/>
        </w:rPr>
        <w:t>Результаты рассмотрения обращений граждан</w:t>
      </w:r>
    </w:p>
    <w:p w:rsidR="00D002A7" w:rsidRPr="00D002A7" w:rsidRDefault="00D002A7" w:rsidP="00D002A7">
      <w:pPr>
        <w:ind w:right="-1"/>
        <w:jc w:val="center"/>
        <w:rPr>
          <w:sz w:val="28"/>
          <w:szCs w:val="28"/>
        </w:rPr>
      </w:pPr>
    </w:p>
    <w:p w:rsidR="00D002A7" w:rsidRPr="00D002A7" w:rsidRDefault="00D002A7" w:rsidP="00D002A7">
      <w:pPr>
        <w:ind w:right="-1" w:firstLine="709"/>
        <w:jc w:val="both"/>
        <w:rPr>
          <w:sz w:val="28"/>
          <w:szCs w:val="28"/>
        </w:rPr>
      </w:pPr>
      <w:r w:rsidRPr="00D002A7">
        <w:rPr>
          <w:sz w:val="28"/>
          <w:szCs w:val="28"/>
        </w:rPr>
        <w:t>Все поступающие в Федеральное агентство воздушного транспорта обращения граждан подлежат обязательному рассмотрению. Информация о результатах рассмотрения обращений граждан приведена в таблице.</w:t>
      </w:r>
    </w:p>
    <w:p w:rsidR="00E94082" w:rsidRPr="00D002A7" w:rsidRDefault="00E94082" w:rsidP="00E94082">
      <w:pPr>
        <w:ind w:right="-1" w:firstLine="709"/>
        <w:jc w:val="both"/>
        <w:rPr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1216"/>
        <w:gridCol w:w="1094"/>
        <w:gridCol w:w="973"/>
        <w:gridCol w:w="1094"/>
        <w:gridCol w:w="1004"/>
      </w:tblGrid>
      <w:tr w:rsidR="00BB2113" w:rsidRPr="00D002A7" w:rsidTr="007C16DD">
        <w:trPr>
          <w:trHeight w:val="699"/>
        </w:trPr>
        <w:tc>
          <w:tcPr>
            <w:tcW w:w="4870" w:type="dxa"/>
            <w:tcBorders>
              <w:bottom w:val="single" w:sz="12" w:space="0" w:color="FFFFFF"/>
            </w:tcBorders>
            <w:shd w:val="clear" w:color="auto" w:fill="348DA5"/>
            <w:hideMark/>
          </w:tcPr>
          <w:p w:rsidR="00E94082" w:rsidRPr="00D002A7" w:rsidRDefault="00E94082" w:rsidP="00BB2113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Результаты рассмотрения обращений граждан</w:t>
            </w:r>
          </w:p>
        </w:tc>
        <w:tc>
          <w:tcPr>
            <w:tcW w:w="1216" w:type="dxa"/>
            <w:tcBorders>
              <w:bottom w:val="single" w:sz="12" w:space="0" w:color="FFFFFF"/>
            </w:tcBorders>
            <w:shd w:val="clear" w:color="auto" w:fill="348DA5"/>
          </w:tcPr>
          <w:p w:rsidR="00E94082" w:rsidRPr="00D002A7" w:rsidRDefault="00E94082" w:rsidP="007C16DD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2010 год</w:t>
            </w:r>
          </w:p>
        </w:tc>
        <w:tc>
          <w:tcPr>
            <w:tcW w:w="1094" w:type="dxa"/>
            <w:tcBorders>
              <w:bottom w:val="single" w:sz="12" w:space="0" w:color="FFFFFF"/>
            </w:tcBorders>
            <w:shd w:val="clear" w:color="auto" w:fill="348DA5"/>
          </w:tcPr>
          <w:p w:rsidR="00E94082" w:rsidRPr="00D002A7" w:rsidRDefault="00E94082" w:rsidP="007C16DD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2011 год</w:t>
            </w:r>
          </w:p>
        </w:tc>
        <w:tc>
          <w:tcPr>
            <w:tcW w:w="973" w:type="dxa"/>
            <w:tcBorders>
              <w:bottom w:val="single" w:sz="12" w:space="0" w:color="FFFFFF"/>
            </w:tcBorders>
            <w:shd w:val="clear" w:color="auto" w:fill="348DA5"/>
            <w:hideMark/>
          </w:tcPr>
          <w:p w:rsidR="00E94082" w:rsidRPr="00D002A7" w:rsidRDefault="00E94082" w:rsidP="007C16DD">
            <w:pPr>
              <w:ind w:left="-47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2012 год</w:t>
            </w:r>
          </w:p>
        </w:tc>
        <w:tc>
          <w:tcPr>
            <w:tcW w:w="1094" w:type="dxa"/>
            <w:tcBorders>
              <w:bottom w:val="single" w:sz="12" w:space="0" w:color="FFFFFF"/>
            </w:tcBorders>
            <w:shd w:val="clear" w:color="auto" w:fill="348DA5"/>
          </w:tcPr>
          <w:p w:rsidR="00E94082" w:rsidRPr="00D002A7" w:rsidRDefault="00E94082" w:rsidP="007C16DD">
            <w:pPr>
              <w:ind w:left="-47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2013</w:t>
            </w:r>
          </w:p>
          <w:p w:rsidR="00E94082" w:rsidRPr="00D002A7" w:rsidRDefault="00E94082" w:rsidP="007C16DD">
            <w:pPr>
              <w:ind w:left="-47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год</w:t>
            </w:r>
          </w:p>
        </w:tc>
        <w:tc>
          <w:tcPr>
            <w:tcW w:w="1004" w:type="dxa"/>
            <w:tcBorders>
              <w:bottom w:val="single" w:sz="12" w:space="0" w:color="FFFFFF"/>
            </w:tcBorders>
            <w:shd w:val="clear" w:color="auto" w:fill="348DA5"/>
          </w:tcPr>
          <w:p w:rsidR="00E94082" w:rsidRPr="00D002A7" w:rsidRDefault="00E94082" w:rsidP="007C16DD">
            <w:pPr>
              <w:ind w:left="-47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2014</w:t>
            </w:r>
          </w:p>
          <w:p w:rsidR="00E94082" w:rsidRPr="00D002A7" w:rsidRDefault="00E94082" w:rsidP="007C16DD">
            <w:pPr>
              <w:ind w:left="-47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02A7">
              <w:rPr>
                <w:b/>
                <w:bCs/>
                <w:color w:val="FFFFFF"/>
                <w:sz w:val="28"/>
                <w:szCs w:val="28"/>
              </w:rPr>
              <w:t>год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DE9D9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Дано разъяснение</w:t>
            </w:r>
          </w:p>
        </w:tc>
        <w:tc>
          <w:tcPr>
            <w:tcW w:w="1216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1665</w:t>
            </w:r>
          </w:p>
        </w:tc>
        <w:tc>
          <w:tcPr>
            <w:tcW w:w="1094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2902</w:t>
            </w:r>
          </w:p>
        </w:tc>
        <w:tc>
          <w:tcPr>
            <w:tcW w:w="973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09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2532</w:t>
            </w:r>
          </w:p>
        </w:tc>
        <w:tc>
          <w:tcPr>
            <w:tcW w:w="100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5205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EF4EC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1216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3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DE9D9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Меры, принятые по результатам рассмотрения обращения</w:t>
            </w:r>
          </w:p>
        </w:tc>
        <w:tc>
          <w:tcPr>
            <w:tcW w:w="1216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4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73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EF4EC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Принято к сведению</w:t>
            </w:r>
          </w:p>
        </w:tc>
        <w:tc>
          <w:tcPr>
            <w:tcW w:w="1216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73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DE9D9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color w:val="000000"/>
                <w:sz w:val="28"/>
                <w:szCs w:val="28"/>
              </w:rPr>
              <w:t>Ответ не направлен, из них:</w:t>
            </w:r>
          </w:p>
        </w:tc>
        <w:tc>
          <w:tcPr>
            <w:tcW w:w="1216" w:type="dxa"/>
            <w:shd w:val="clear" w:color="auto" w:fill="FDE9D9"/>
            <w:hideMark/>
          </w:tcPr>
          <w:p w:rsidR="00E94082" w:rsidRPr="00D002A7" w:rsidRDefault="005B50AF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FDE9D9"/>
            <w:hideMark/>
          </w:tcPr>
          <w:p w:rsidR="00E94082" w:rsidRPr="00D002A7" w:rsidRDefault="005B50AF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73" w:type="dxa"/>
            <w:shd w:val="clear" w:color="auto" w:fill="FDE9D9"/>
            <w:hideMark/>
          </w:tcPr>
          <w:p w:rsidR="00E94082" w:rsidRPr="00D002A7" w:rsidRDefault="005B50AF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shd w:val="clear" w:color="auto" w:fill="FDE9D9"/>
          </w:tcPr>
          <w:p w:rsidR="00E94082" w:rsidRPr="00D002A7" w:rsidRDefault="005B50AF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0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color w:val="000000"/>
                <w:sz w:val="28"/>
                <w:szCs w:val="28"/>
              </w:rPr>
            </w:pPr>
            <w:r w:rsidRPr="00D002A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EF4EC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i/>
                <w:color w:val="000000"/>
                <w:sz w:val="28"/>
                <w:szCs w:val="28"/>
              </w:rPr>
              <w:t>Отсутствует адресат обращения</w:t>
            </w:r>
          </w:p>
        </w:tc>
        <w:tc>
          <w:tcPr>
            <w:tcW w:w="1216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973" w:type="dxa"/>
            <w:shd w:val="clear" w:color="auto" w:fill="FEF4EC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shd w:val="clear" w:color="auto" w:fill="FEF4EC"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16</w:t>
            </w:r>
          </w:p>
        </w:tc>
      </w:tr>
      <w:tr w:rsidR="00E94082" w:rsidRPr="00D002A7" w:rsidTr="007C16DD">
        <w:trPr>
          <w:trHeight w:val="315"/>
        </w:trPr>
        <w:tc>
          <w:tcPr>
            <w:tcW w:w="4870" w:type="dxa"/>
            <w:shd w:val="clear" w:color="auto" w:fill="FDE9D9"/>
            <w:hideMark/>
          </w:tcPr>
          <w:p w:rsidR="00E94082" w:rsidRPr="00D002A7" w:rsidRDefault="00E94082" w:rsidP="007C16D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002A7">
              <w:rPr>
                <w:b/>
                <w:bCs/>
                <w:i/>
                <w:color w:val="000000"/>
                <w:sz w:val="28"/>
                <w:szCs w:val="28"/>
              </w:rPr>
              <w:t>Обращения, не подписанные авторами, без указания адреса</w:t>
            </w:r>
          </w:p>
        </w:tc>
        <w:tc>
          <w:tcPr>
            <w:tcW w:w="1216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973" w:type="dxa"/>
            <w:shd w:val="clear" w:color="auto" w:fill="FDE9D9"/>
            <w:hideMark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shd w:val="clear" w:color="auto" w:fill="FDE9D9"/>
          </w:tcPr>
          <w:p w:rsidR="00E94082" w:rsidRPr="00D002A7" w:rsidRDefault="00E94082" w:rsidP="007C16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002A7">
              <w:rPr>
                <w:i/>
                <w:color w:val="000000"/>
                <w:sz w:val="28"/>
                <w:szCs w:val="28"/>
              </w:rPr>
              <w:t>17</w:t>
            </w:r>
          </w:p>
        </w:tc>
      </w:tr>
    </w:tbl>
    <w:p w:rsidR="00774D31" w:rsidRPr="00D002A7" w:rsidRDefault="00774D31" w:rsidP="00774D31">
      <w:pPr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 xml:space="preserve">В целях реализации положений Федерального закона Российской Федерации от </w:t>
      </w:r>
      <w:r w:rsidRPr="00D002A7">
        <w:rPr>
          <w:sz w:val="28"/>
          <w:szCs w:val="28"/>
        </w:rPr>
        <w:t xml:space="preserve"> 02.05.2006 № 59-ФЗ «О порядке рассмотрения обращений граждан Российской Федерации» Федеральным агентством воздушного транспорта </w:t>
      </w:r>
      <w:r w:rsidRPr="00D002A7">
        <w:rPr>
          <w:color w:val="000000"/>
          <w:sz w:val="28"/>
          <w:szCs w:val="28"/>
        </w:rPr>
        <w:t xml:space="preserve">применяются меры, направленные на повышение эффективности работы с поступающими обращениями, а именно: Росавиация осуществляет свою деятельность, </w:t>
      </w:r>
      <w:r w:rsidRPr="00D002A7">
        <w:rPr>
          <w:rFonts w:cs="Arial"/>
          <w:sz w:val="28"/>
          <w:szCs w:val="28"/>
        </w:rPr>
        <w:t xml:space="preserve">основываясь на принципе открытости для общественности; </w:t>
      </w:r>
      <w:r w:rsidRPr="00D002A7">
        <w:rPr>
          <w:color w:val="000000"/>
          <w:sz w:val="28"/>
          <w:szCs w:val="28"/>
        </w:rPr>
        <w:t>ведется активная работа по освещению деятельности Росавиации в средствах массовой информации; материалы о деятельности Федерального агентства воздушного транспорта публикуются на официальном сайте в сети Интернет;  используется «телефон доверия» для установления обратной связи с гражданами и организациями, должностными лицами  Росавиации осуществляется личный прием граждан.</w:t>
      </w:r>
    </w:p>
    <w:p w:rsidR="00C86E90" w:rsidRPr="00D002A7" w:rsidRDefault="00C86E90" w:rsidP="00774D31">
      <w:pPr>
        <w:ind w:right="-1" w:firstLine="708"/>
        <w:jc w:val="both"/>
        <w:rPr>
          <w:color w:val="000000"/>
          <w:sz w:val="28"/>
          <w:szCs w:val="28"/>
        </w:rPr>
      </w:pPr>
    </w:p>
    <w:p w:rsidR="00D002A7" w:rsidRPr="00D002A7" w:rsidRDefault="00D002A7" w:rsidP="00D002A7">
      <w:pPr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В текущем году Росавиацией запланировано:</w:t>
      </w:r>
    </w:p>
    <w:p w:rsidR="00D002A7" w:rsidRPr="00D002A7" w:rsidRDefault="00D002A7" w:rsidP="00D002A7">
      <w:pPr>
        <w:tabs>
          <w:tab w:val="left" w:pos="993"/>
        </w:tabs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-</w:t>
      </w:r>
      <w:r w:rsidRPr="00D002A7">
        <w:rPr>
          <w:color w:val="000000"/>
          <w:sz w:val="28"/>
          <w:szCs w:val="28"/>
        </w:rPr>
        <w:tab/>
        <w:t xml:space="preserve">создание на официальном сайте в сети Интернет страницы «Часто задаваемые вопросы», на которой граждане смогут найти ответы на наиболее актуальные, социально значимые вопросы, связанные с гражданской авиацией; </w:t>
      </w:r>
    </w:p>
    <w:p w:rsidR="00D002A7" w:rsidRPr="00D002A7" w:rsidRDefault="00D002A7" w:rsidP="00D002A7">
      <w:pPr>
        <w:tabs>
          <w:tab w:val="left" w:pos="993"/>
        </w:tabs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-</w:t>
      </w:r>
      <w:r w:rsidRPr="00D002A7">
        <w:rPr>
          <w:color w:val="000000"/>
          <w:sz w:val="28"/>
          <w:szCs w:val="28"/>
        </w:rPr>
        <w:tab/>
        <w:t>проведение онлайн-конференций руководством Росавиации;</w:t>
      </w:r>
    </w:p>
    <w:p w:rsidR="00D002A7" w:rsidRPr="00D002A7" w:rsidRDefault="00D002A7" w:rsidP="00D002A7">
      <w:pPr>
        <w:tabs>
          <w:tab w:val="left" w:pos="993"/>
        </w:tabs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-</w:t>
      </w:r>
      <w:r w:rsidRPr="00D002A7">
        <w:rPr>
          <w:color w:val="000000"/>
          <w:sz w:val="28"/>
          <w:szCs w:val="28"/>
        </w:rPr>
        <w:tab/>
        <w:t>участие должностных лиц центрального аппарата Росавиации и руководителей подведомственных межрегиональных территориальных управлений в общероссийском дне приема граждан.</w:t>
      </w:r>
    </w:p>
    <w:p w:rsidR="00D002A7" w:rsidRDefault="00D002A7" w:rsidP="00D002A7">
      <w:pPr>
        <w:ind w:right="-1" w:firstLine="708"/>
        <w:jc w:val="both"/>
        <w:rPr>
          <w:color w:val="000000"/>
          <w:sz w:val="28"/>
          <w:szCs w:val="28"/>
        </w:rPr>
      </w:pPr>
      <w:r w:rsidRPr="00D002A7">
        <w:rPr>
          <w:color w:val="000000"/>
          <w:sz w:val="28"/>
          <w:szCs w:val="28"/>
        </w:rPr>
        <w:t>Организация работы с обращениями граждан по обеспечению, соблюдению, защите и восстановлению нарушенных прав и законных интересов физических и юридических лиц является одной из приоритетных задач, стоящих перед Росавиацией и ее территориальными органами.</w:t>
      </w:r>
    </w:p>
    <w:p w:rsidR="00E94082" w:rsidRPr="005B50AF" w:rsidRDefault="00E94082" w:rsidP="00E94082">
      <w:pPr>
        <w:ind w:right="-1"/>
        <w:jc w:val="both"/>
        <w:rPr>
          <w:sz w:val="28"/>
          <w:szCs w:val="28"/>
        </w:rPr>
      </w:pPr>
    </w:p>
    <w:p w:rsidR="00E94082" w:rsidRDefault="00E94082" w:rsidP="00E94082">
      <w:pPr>
        <w:ind w:right="-1"/>
        <w:jc w:val="both"/>
        <w:rPr>
          <w:sz w:val="28"/>
          <w:szCs w:val="28"/>
        </w:rPr>
      </w:pPr>
    </w:p>
    <w:sectPr w:rsidR="00E94082" w:rsidSect="00081528">
      <w:pgSz w:w="11906" w:h="16838"/>
      <w:pgMar w:top="1134" w:right="567" w:bottom="1134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63" w:rsidRDefault="00BB6763">
      <w:r>
        <w:separator/>
      </w:r>
    </w:p>
  </w:endnote>
  <w:endnote w:type="continuationSeparator" w:id="0">
    <w:p w:rsidR="00BB6763" w:rsidRDefault="00BB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47" w:rsidRDefault="00677884" w:rsidP="00057E2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5D4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D47" w:rsidRDefault="00E65D47" w:rsidP="0025687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47" w:rsidRDefault="00677884" w:rsidP="00057E2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5D4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0E9E">
      <w:rPr>
        <w:rStyle w:val="af1"/>
        <w:noProof/>
      </w:rPr>
      <w:t>5</w:t>
    </w:r>
    <w:r>
      <w:rPr>
        <w:rStyle w:val="af1"/>
      </w:rPr>
      <w:fldChar w:fldCharType="end"/>
    </w:r>
  </w:p>
  <w:p w:rsidR="00E65D47" w:rsidRDefault="00E65D47" w:rsidP="0025687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63" w:rsidRDefault="00BB6763">
      <w:r>
        <w:separator/>
      </w:r>
    </w:p>
  </w:footnote>
  <w:footnote w:type="continuationSeparator" w:id="0">
    <w:p w:rsidR="00BB6763" w:rsidRDefault="00BB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120"/>
    <w:multiLevelType w:val="multilevel"/>
    <w:tmpl w:val="E3EC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887"/>
    <w:multiLevelType w:val="hybridMultilevel"/>
    <w:tmpl w:val="0F7A07B4"/>
    <w:lvl w:ilvl="0" w:tplc="E5E28CD8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77D5"/>
    <w:multiLevelType w:val="hybridMultilevel"/>
    <w:tmpl w:val="F80CB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00E73"/>
    <w:multiLevelType w:val="hybridMultilevel"/>
    <w:tmpl w:val="F8381600"/>
    <w:lvl w:ilvl="0" w:tplc="F48ADA4A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268F3"/>
    <w:multiLevelType w:val="multilevel"/>
    <w:tmpl w:val="BB82F8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i/>
      </w:rPr>
    </w:lvl>
  </w:abstractNum>
  <w:abstractNum w:abstractNumId="5">
    <w:nsid w:val="15BD2A21"/>
    <w:multiLevelType w:val="multilevel"/>
    <w:tmpl w:val="63D0BEC0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23D5B"/>
    <w:multiLevelType w:val="hybridMultilevel"/>
    <w:tmpl w:val="ABB24428"/>
    <w:lvl w:ilvl="0" w:tplc="EF1240A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513F2"/>
    <w:multiLevelType w:val="hybridMultilevel"/>
    <w:tmpl w:val="073E2C62"/>
    <w:lvl w:ilvl="0" w:tplc="FD74CEB4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C6E55"/>
    <w:multiLevelType w:val="multilevel"/>
    <w:tmpl w:val="F8381600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C4FA6"/>
    <w:multiLevelType w:val="hybridMultilevel"/>
    <w:tmpl w:val="C8DAD138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82884"/>
    <w:multiLevelType w:val="multilevel"/>
    <w:tmpl w:val="E81AF570"/>
    <w:lvl w:ilvl="0">
      <w:start w:val="1"/>
      <w:numFmt w:val="decimal"/>
      <w:lvlText w:val="%1."/>
      <w:lvlJc w:val="left"/>
      <w:pPr>
        <w:tabs>
          <w:tab w:val="num" w:pos="720"/>
        </w:tabs>
        <w:ind w:left="153" w:hanging="1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361F1"/>
    <w:multiLevelType w:val="hybridMultilevel"/>
    <w:tmpl w:val="701EB494"/>
    <w:lvl w:ilvl="0" w:tplc="90C4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A5F"/>
    <w:multiLevelType w:val="multilevel"/>
    <w:tmpl w:val="23E6751E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409D"/>
    <w:multiLevelType w:val="multilevel"/>
    <w:tmpl w:val="073E2C62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546A2"/>
    <w:multiLevelType w:val="multilevel"/>
    <w:tmpl w:val="B1F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07E10"/>
    <w:multiLevelType w:val="multilevel"/>
    <w:tmpl w:val="0F7A07B4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F566D"/>
    <w:multiLevelType w:val="hybridMultilevel"/>
    <w:tmpl w:val="0D5E3A1E"/>
    <w:lvl w:ilvl="0" w:tplc="02E2062A">
      <w:start w:val="1"/>
      <w:numFmt w:val="decimal"/>
      <w:lvlText w:val="%1."/>
      <w:lvlJc w:val="left"/>
      <w:pPr>
        <w:tabs>
          <w:tab w:val="num" w:pos="720"/>
        </w:tabs>
        <w:ind w:left="153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3236C"/>
    <w:multiLevelType w:val="hybridMultilevel"/>
    <w:tmpl w:val="63D0BEC0"/>
    <w:lvl w:ilvl="0" w:tplc="449A5E5C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00A18"/>
    <w:multiLevelType w:val="hybridMultilevel"/>
    <w:tmpl w:val="D804BBB6"/>
    <w:lvl w:ilvl="0" w:tplc="3C5AD2F2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81"/>
    <w:rsid w:val="00000F2D"/>
    <w:rsid w:val="00002861"/>
    <w:rsid w:val="00005CE3"/>
    <w:rsid w:val="00011B4B"/>
    <w:rsid w:val="0001241C"/>
    <w:rsid w:val="000145C7"/>
    <w:rsid w:val="0001642E"/>
    <w:rsid w:val="00016A3C"/>
    <w:rsid w:val="00020C0D"/>
    <w:rsid w:val="00021DEB"/>
    <w:rsid w:val="00022692"/>
    <w:rsid w:val="00030310"/>
    <w:rsid w:val="0003167F"/>
    <w:rsid w:val="00034740"/>
    <w:rsid w:val="00040FDE"/>
    <w:rsid w:val="00045A83"/>
    <w:rsid w:val="00046936"/>
    <w:rsid w:val="00052B1E"/>
    <w:rsid w:val="0005491A"/>
    <w:rsid w:val="00057C51"/>
    <w:rsid w:val="00057E2B"/>
    <w:rsid w:val="00060E25"/>
    <w:rsid w:val="00063F21"/>
    <w:rsid w:val="000649F8"/>
    <w:rsid w:val="000771E1"/>
    <w:rsid w:val="00081528"/>
    <w:rsid w:val="0008324D"/>
    <w:rsid w:val="000909E8"/>
    <w:rsid w:val="000A0CEF"/>
    <w:rsid w:val="000A1AC7"/>
    <w:rsid w:val="000A201C"/>
    <w:rsid w:val="000A7672"/>
    <w:rsid w:val="000B5528"/>
    <w:rsid w:val="000B6552"/>
    <w:rsid w:val="000C0209"/>
    <w:rsid w:val="000C0A98"/>
    <w:rsid w:val="000C1A61"/>
    <w:rsid w:val="000C2782"/>
    <w:rsid w:val="000C5181"/>
    <w:rsid w:val="000D00DA"/>
    <w:rsid w:val="000D142A"/>
    <w:rsid w:val="000D519F"/>
    <w:rsid w:val="000E093B"/>
    <w:rsid w:val="000E16ED"/>
    <w:rsid w:val="000E295C"/>
    <w:rsid w:val="000E6749"/>
    <w:rsid w:val="000F4274"/>
    <w:rsid w:val="000F5FF4"/>
    <w:rsid w:val="000F7775"/>
    <w:rsid w:val="00103CA2"/>
    <w:rsid w:val="00111DE7"/>
    <w:rsid w:val="0011203C"/>
    <w:rsid w:val="00122115"/>
    <w:rsid w:val="00125E56"/>
    <w:rsid w:val="001311CB"/>
    <w:rsid w:val="00131AD2"/>
    <w:rsid w:val="00136007"/>
    <w:rsid w:val="00136AFC"/>
    <w:rsid w:val="0014311E"/>
    <w:rsid w:val="001440BE"/>
    <w:rsid w:val="00146764"/>
    <w:rsid w:val="00146CA6"/>
    <w:rsid w:val="001638F9"/>
    <w:rsid w:val="00163BE8"/>
    <w:rsid w:val="00164180"/>
    <w:rsid w:val="00166119"/>
    <w:rsid w:val="001902D1"/>
    <w:rsid w:val="001A173A"/>
    <w:rsid w:val="001A367F"/>
    <w:rsid w:val="001B054C"/>
    <w:rsid w:val="001B10EA"/>
    <w:rsid w:val="001B49E2"/>
    <w:rsid w:val="001B68A2"/>
    <w:rsid w:val="001B7B1A"/>
    <w:rsid w:val="001C126D"/>
    <w:rsid w:val="001C18E8"/>
    <w:rsid w:val="001C462C"/>
    <w:rsid w:val="001C68BD"/>
    <w:rsid w:val="001D1841"/>
    <w:rsid w:val="001D2297"/>
    <w:rsid w:val="001D6638"/>
    <w:rsid w:val="001E1AB0"/>
    <w:rsid w:val="001E2211"/>
    <w:rsid w:val="001E27BB"/>
    <w:rsid w:val="001F0001"/>
    <w:rsid w:val="001F0B29"/>
    <w:rsid w:val="001F14B9"/>
    <w:rsid w:val="001F1B28"/>
    <w:rsid w:val="001F2D7F"/>
    <w:rsid w:val="001F3D03"/>
    <w:rsid w:val="001F5CC7"/>
    <w:rsid w:val="001F7297"/>
    <w:rsid w:val="002025FB"/>
    <w:rsid w:val="002035DC"/>
    <w:rsid w:val="00204A63"/>
    <w:rsid w:val="002051A8"/>
    <w:rsid w:val="00211209"/>
    <w:rsid w:val="00213EB9"/>
    <w:rsid w:val="00214322"/>
    <w:rsid w:val="00225362"/>
    <w:rsid w:val="00225E15"/>
    <w:rsid w:val="0022635B"/>
    <w:rsid w:val="00227054"/>
    <w:rsid w:val="00234B74"/>
    <w:rsid w:val="002351AF"/>
    <w:rsid w:val="002352B1"/>
    <w:rsid w:val="002357CE"/>
    <w:rsid w:val="00235F46"/>
    <w:rsid w:val="00236BF2"/>
    <w:rsid w:val="002378E8"/>
    <w:rsid w:val="00240A0F"/>
    <w:rsid w:val="0024469B"/>
    <w:rsid w:val="002459E6"/>
    <w:rsid w:val="0024614B"/>
    <w:rsid w:val="00255182"/>
    <w:rsid w:val="00256874"/>
    <w:rsid w:val="002612D8"/>
    <w:rsid w:val="00271CBC"/>
    <w:rsid w:val="00272342"/>
    <w:rsid w:val="00272F97"/>
    <w:rsid w:val="00274EAD"/>
    <w:rsid w:val="002752ED"/>
    <w:rsid w:val="002768A7"/>
    <w:rsid w:val="00276D3E"/>
    <w:rsid w:val="0028126C"/>
    <w:rsid w:val="00282FC1"/>
    <w:rsid w:val="00284A53"/>
    <w:rsid w:val="00286984"/>
    <w:rsid w:val="00291A4D"/>
    <w:rsid w:val="00296074"/>
    <w:rsid w:val="002A0C6A"/>
    <w:rsid w:val="002A29BA"/>
    <w:rsid w:val="002A32CB"/>
    <w:rsid w:val="002B34B4"/>
    <w:rsid w:val="002B3E4A"/>
    <w:rsid w:val="002B5236"/>
    <w:rsid w:val="002B67A5"/>
    <w:rsid w:val="002B6900"/>
    <w:rsid w:val="002B70B1"/>
    <w:rsid w:val="002C3511"/>
    <w:rsid w:val="002C3DA3"/>
    <w:rsid w:val="002C71C3"/>
    <w:rsid w:val="002D26E1"/>
    <w:rsid w:val="002E0AD3"/>
    <w:rsid w:val="002E11A4"/>
    <w:rsid w:val="002E321B"/>
    <w:rsid w:val="002F00C5"/>
    <w:rsid w:val="002F067B"/>
    <w:rsid w:val="002F0B63"/>
    <w:rsid w:val="002F0C73"/>
    <w:rsid w:val="002F396C"/>
    <w:rsid w:val="002F5E42"/>
    <w:rsid w:val="002F6B11"/>
    <w:rsid w:val="00304E7D"/>
    <w:rsid w:val="00311FA9"/>
    <w:rsid w:val="003140FE"/>
    <w:rsid w:val="003165A0"/>
    <w:rsid w:val="00316681"/>
    <w:rsid w:val="0031737A"/>
    <w:rsid w:val="003201BC"/>
    <w:rsid w:val="00320CD9"/>
    <w:rsid w:val="003301E9"/>
    <w:rsid w:val="00332103"/>
    <w:rsid w:val="00333E30"/>
    <w:rsid w:val="0034026E"/>
    <w:rsid w:val="00345590"/>
    <w:rsid w:val="00350CA3"/>
    <w:rsid w:val="003518BA"/>
    <w:rsid w:val="00355530"/>
    <w:rsid w:val="0035584E"/>
    <w:rsid w:val="00364342"/>
    <w:rsid w:val="0036449E"/>
    <w:rsid w:val="00367691"/>
    <w:rsid w:val="00370F64"/>
    <w:rsid w:val="00371B32"/>
    <w:rsid w:val="0037762A"/>
    <w:rsid w:val="00377FAF"/>
    <w:rsid w:val="00382716"/>
    <w:rsid w:val="0038591F"/>
    <w:rsid w:val="00391416"/>
    <w:rsid w:val="00395F24"/>
    <w:rsid w:val="00397276"/>
    <w:rsid w:val="003A10D5"/>
    <w:rsid w:val="003A37D4"/>
    <w:rsid w:val="003A47DC"/>
    <w:rsid w:val="003A5D6B"/>
    <w:rsid w:val="003A647D"/>
    <w:rsid w:val="003A6EC7"/>
    <w:rsid w:val="003B006E"/>
    <w:rsid w:val="003B030C"/>
    <w:rsid w:val="003B09C8"/>
    <w:rsid w:val="003B3218"/>
    <w:rsid w:val="003B5D06"/>
    <w:rsid w:val="003B6DB5"/>
    <w:rsid w:val="003C0553"/>
    <w:rsid w:val="003C11E9"/>
    <w:rsid w:val="003C33AE"/>
    <w:rsid w:val="003C4C40"/>
    <w:rsid w:val="003D0A2F"/>
    <w:rsid w:val="003D0B9E"/>
    <w:rsid w:val="003D317A"/>
    <w:rsid w:val="003E1BF1"/>
    <w:rsid w:val="003E1F99"/>
    <w:rsid w:val="003E436B"/>
    <w:rsid w:val="003F0690"/>
    <w:rsid w:val="003F25CA"/>
    <w:rsid w:val="003F4413"/>
    <w:rsid w:val="003F5EAF"/>
    <w:rsid w:val="0040116F"/>
    <w:rsid w:val="004012F9"/>
    <w:rsid w:val="004020E7"/>
    <w:rsid w:val="004047AD"/>
    <w:rsid w:val="00406CB6"/>
    <w:rsid w:val="004078CA"/>
    <w:rsid w:val="004106D6"/>
    <w:rsid w:val="004120DE"/>
    <w:rsid w:val="004129B9"/>
    <w:rsid w:val="0042063F"/>
    <w:rsid w:val="00423061"/>
    <w:rsid w:val="00432860"/>
    <w:rsid w:val="004350AC"/>
    <w:rsid w:val="004458B8"/>
    <w:rsid w:val="004500EF"/>
    <w:rsid w:val="00453605"/>
    <w:rsid w:val="00454C7E"/>
    <w:rsid w:val="00456E3F"/>
    <w:rsid w:val="004634D5"/>
    <w:rsid w:val="004635F4"/>
    <w:rsid w:val="00466389"/>
    <w:rsid w:val="00467D0D"/>
    <w:rsid w:val="00467EC1"/>
    <w:rsid w:val="00476885"/>
    <w:rsid w:val="004768A8"/>
    <w:rsid w:val="004844BA"/>
    <w:rsid w:val="00491D29"/>
    <w:rsid w:val="00494F40"/>
    <w:rsid w:val="004A5D2A"/>
    <w:rsid w:val="004B1265"/>
    <w:rsid w:val="004B1581"/>
    <w:rsid w:val="004B2084"/>
    <w:rsid w:val="004B4B1B"/>
    <w:rsid w:val="004C0405"/>
    <w:rsid w:val="004C5B84"/>
    <w:rsid w:val="004C5ED8"/>
    <w:rsid w:val="004C6D35"/>
    <w:rsid w:val="004C6F39"/>
    <w:rsid w:val="004D252B"/>
    <w:rsid w:val="004D2A7A"/>
    <w:rsid w:val="004D45EA"/>
    <w:rsid w:val="004D7E0E"/>
    <w:rsid w:val="004E25BE"/>
    <w:rsid w:val="004E66BA"/>
    <w:rsid w:val="004E73B9"/>
    <w:rsid w:val="004F2734"/>
    <w:rsid w:val="004F5C13"/>
    <w:rsid w:val="004F7BE2"/>
    <w:rsid w:val="0050012E"/>
    <w:rsid w:val="00500453"/>
    <w:rsid w:val="00500B4E"/>
    <w:rsid w:val="00501810"/>
    <w:rsid w:val="005027F5"/>
    <w:rsid w:val="00504EFB"/>
    <w:rsid w:val="00506FB0"/>
    <w:rsid w:val="00510B31"/>
    <w:rsid w:val="0052633C"/>
    <w:rsid w:val="00537ACB"/>
    <w:rsid w:val="00561E48"/>
    <w:rsid w:val="005623E3"/>
    <w:rsid w:val="00563416"/>
    <w:rsid w:val="00565FA6"/>
    <w:rsid w:val="005702DD"/>
    <w:rsid w:val="00572E0E"/>
    <w:rsid w:val="00574E5E"/>
    <w:rsid w:val="005812E0"/>
    <w:rsid w:val="00581B09"/>
    <w:rsid w:val="00581D37"/>
    <w:rsid w:val="00582226"/>
    <w:rsid w:val="00584100"/>
    <w:rsid w:val="00584DF4"/>
    <w:rsid w:val="005B03DB"/>
    <w:rsid w:val="005B1370"/>
    <w:rsid w:val="005B2A17"/>
    <w:rsid w:val="005B4985"/>
    <w:rsid w:val="005B50AF"/>
    <w:rsid w:val="005B55E7"/>
    <w:rsid w:val="005B7A0F"/>
    <w:rsid w:val="005C0173"/>
    <w:rsid w:val="005C1743"/>
    <w:rsid w:val="005C2195"/>
    <w:rsid w:val="005C76A5"/>
    <w:rsid w:val="005D1EE7"/>
    <w:rsid w:val="005D364C"/>
    <w:rsid w:val="005D3982"/>
    <w:rsid w:val="005E05B7"/>
    <w:rsid w:val="005E1A9F"/>
    <w:rsid w:val="005E45D6"/>
    <w:rsid w:val="005E5977"/>
    <w:rsid w:val="005E663A"/>
    <w:rsid w:val="005E66B8"/>
    <w:rsid w:val="005F7CE5"/>
    <w:rsid w:val="00604620"/>
    <w:rsid w:val="00605FCD"/>
    <w:rsid w:val="00606835"/>
    <w:rsid w:val="00610FEA"/>
    <w:rsid w:val="00611B80"/>
    <w:rsid w:val="006124BA"/>
    <w:rsid w:val="00614863"/>
    <w:rsid w:val="006177D2"/>
    <w:rsid w:val="00620A09"/>
    <w:rsid w:val="00624D32"/>
    <w:rsid w:val="00630203"/>
    <w:rsid w:val="00631DD3"/>
    <w:rsid w:val="00633840"/>
    <w:rsid w:val="00633876"/>
    <w:rsid w:val="0063536E"/>
    <w:rsid w:val="00641F09"/>
    <w:rsid w:val="00643318"/>
    <w:rsid w:val="00644214"/>
    <w:rsid w:val="00644B42"/>
    <w:rsid w:val="0065489B"/>
    <w:rsid w:val="006627AC"/>
    <w:rsid w:val="00662AA2"/>
    <w:rsid w:val="0066665D"/>
    <w:rsid w:val="006670BF"/>
    <w:rsid w:val="0066724F"/>
    <w:rsid w:val="00671362"/>
    <w:rsid w:val="00677884"/>
    <w:rsid w:val="0068123E"/>
    <w:rsid w:val="00686753"/>
    <w:rsid w:val="00690ABD"/>
    <w:rsid w:val="006920BB"/>
    <w:rsid w:val="0069428B"/>
    <w:rsid w:val="006943AB"/>
    <w:rsid w:val="00694F77"/>
    <w:rsid w:val="006950D0"/>
    <w:rsid w:val="006A4FD8"/>
    <w:rsid w:val="006A5813"/>
    <w:rsid w:val="006A6132"/>
    <w:rsid w:val="006A7E6F"/>
    <w:rsid w:val="006B7153"/>
    <w:rsid w:val="006B73CB"/>
    <w:rsid w:val="006C22D2"/>
    <w:rsid w:val="006C57C7"/>
    <w:rsid w:val="006C5848"/>
    <w:rsid w:val="006C72ED"/>
    <w:rsid w:val="006D2A54"/>
    <w:rsid w:val="006D571E"/>
    <w:rsid w:val="006E2492"/>
    <w:rsid w:val="006E2B4A"/>
    <w:rsid w:val="006F0354"/>
    <w:rsid w:val="006F1F6C"/>
    <w:rsid w:val="006F4C0B"/>
    <w:rsid w:val="007017E5"/>
    <w:rsid w:val="0070308A"/>
    <w:rsid w:val="00703124"/>
    <w:rsid w:val="00720797"/>
    <w:rsid w:val="00721468"/>
    <w:rsid w:val="00725B0C"/>
    <w:rsid w:val="00727303"/>
    <w:rsid w:val="00732322"/>
    <w:rsid w:val="00733D8D"/>
    <w:rsid w:val="0073498D"/>
    <w:rsid w:val="00737236"/>
    <w:rsid w:val="00737CDD"/>
    <w:rsid w:val="00737D5D"/>
    <w:rsid w:val="00750A5C"/>
    <w:rsid w:val="00755A32"/>
    <w:rsid w:val="00756D12"/>
    <w:rsid w:val="00761B27"/>
    <w:rsid w:val="00766DA5"/>
    <w:rsid w:val="007733E3"/>
    <w:rsid w:val="00774002"/>
    <w:rsid w:val="007742C8"/>
    <w:rsid w:val="00774D31"/>
    <w:rsid w:val="00776E3F"/>
    <w:rsid w:val="007835FE"/>
    <w:rsid w:val="007839B5"/>
    <w:rsid w:val="0078582F"/>
    <w:rsid w:val="00786B25"/>
    <w:rsid w:val="00790825"/>
    <w:rsid w:val="00797BBD"/>
    <w:rsid w:val="007A4DEB"/>
    <w:rsid w:val="007A4F9D"/>
    <w:rsid w:val="007A5043"/>
    <w:rsid w:val="007B08D5"/>
    <w:rsid w:val="007B25DD"/>
    <w:rsid w:val="007B3504"/>
    <w:rsid w:val="007B5679"/>
    <w:rsid w:val="007B77E8"/>
    <w:rsid w:val="007C0042"/>
    <w:rsid w:val="007C16DD"/>
    <w:rsid w:val="007C1C02"/>
    <w:rsid w:val="007C25ED"/>
    <w:rsid w:val="007C3381"/>
    <w:rsid w:val="007C4F1D"/>
    <w:rsid w:val="007D326E"/>
    <w:rsid w:val="007D38E9"/>
    <w:rsid w:val="007F2C4F"/>
    <w:rsid w:val="00801A68"/>
    <w:rsid w:val="00803DB0"/>
    <w:rsid w:val="00811E52"/>
    <w:rsid w:val="00812E5E"/>
    <w:rsid w:val="008154C1"/>
    <w:rsid w:val="00817570"/>
    <w:rsid w:val="008203BE"/>
    <w:rsid w:val="008213F9"/>
    <w:rsid w:val="00822AD7"/>
    <w:rsid w:val="00824680"/>
    <w:rsid w:val="008252AE"/>
    <w:rsid w:val="00831AAD"/>
    <w:rsid w:val="008428CC"/>
    <w:rsid w:val="00845684"/>
    <w:rsid w:val="00847F08"/>
    <w:rsid w:val="00851302"/>
    <w:rsid w:val="00852AF9"/>
    <w:rsid w:val="00853CE8"/>
    <w:rsid w:val="00860E9E"/>
    <w:rsid w:val="00866A54"/>
    <w:rsid w:val="0087294F"/>
    <w:rsid w:val="00873233"/>
    <w:rsid w:val="0087424B"/>
    <w:rsid w:val="008810D2"/>
    <w:rsid w:val="00884E62"/>
    <w:rsid w:val="00885954"/>
    <w:rsid w:val="00890AE7"/>
    <w:rsid w:val="00894B2A"/>
    <w:rsid w:val="00894F70"/>
    <w:rsid w:val="008959CE"/>
    <w:rsid w:val="008A177D"/>
    <w:rsid w:val="008A6CC3"/>
    <w:rsid w:val="008A7AF4"/>
    <w:rsid w:val="008B029E"/>
    <w:rsid w:val="008B1F8F"/>
    <w:rsid w:val="008B76C1"/>
    <w:rsid w:val="008C0248"/>
    <w:rsid w:val="008C1AC0"/>
    <w:rsid w:val="008C2DCA"/>
    <w:rsid w:val="008C3642"/>
    <w:rsid w:val="008C4587"/>
    <w:rsid w:val="008D0719"/>
    <w:rsid w:val="008D2157"/>
    <w:rsid w:val="008D4D49"/>
    <w:rsid w:val="008D789D"/>
    <w:rsid w:val="008E0028"/>
    <w:rsid w:val="008E251F"/>
    <w:rsid w:val="008E4A5C"/>
    <w:rsid w:val="008F0318"/>
    <w:rsid w:val="008F03A1"/>
    <w:rsid w:val="008F24CE"/>
    <w:rsid w:val="008F6301"/>
    <w:rsid w:val="00903495"/>
    <w:rsid w:val="0090737D"/>
    <w:rsid w:val="0091073B"/>
    <w:rsid w:val="009119A0"/>
    <w:rsid w:val="0091291B"/>
    <w:rsid w:val="00913FAE"/>
    <w:rsid w:val="00921F23"/>
    <w:rsid w:val="00923693"/>
    <w:rsid w:val="00924692"/>
    <w:rsid w:val="009317DA"/>
    <w:rsid w:val="009337B7"/>
    <w:rsid w:val="00935DBC"/>
    <w:rsid w:val="00950A55"/>
    <w:rsid w:val="009530FE"/>
    <w:rsid w:val="0095510F"/>
    <w:rsid w:val="00964141"/>
    <w:rsid w:val="00971A48"/>
    <w:rsid w:val="00972AD5"/>
    <w:rsid w:val="00973EB6"/>
    <w:rsid w:val="009756EF"/>
    <w:rsid w:val="00981AA3"/>
    <w:rsid w:val="00985C05"/>
    <w:rsid w:val="00986306"/>
    <w:rsid w:val="009A03DA"/>
    <w:rsid w:val="009A0E29"/>
    <w:rsid w:val="009A3760"/>
    <w:rsid w:val="009A7BCD"/>
    <w:rsid w:val="009B4C85"/>
    <w:rsid w:val="009B5370"/>
    <w:rsid w:val="009B6897"/>
    <w:rsid w:val="009C3A77"/>
    <w:rsid w:val="009C5C7D"/>
    <w:rsid w:val="009D2B3E"/>
    <w:rsid w:val="009D3426"/>
    <w:rsid w:val="009D4502"/>
    <w:rsid w:val="009D55D0"/>
    <w:rsid w:val="009E0DE0"/>
    <w:rsid w:val="009E2B7D"/>
    <w:rsid w:val="009E3176"/>
    <w:rsid w:val="009E69DE"/>
    <w:rsid w:val="009F04F6"/>
    <w:rsid w:val="009F4F06"/>
    <w:rsid w:val="009F5795"/>
    <w:rsid w:val="00A02F9B"/>
    <w:rsid w:val="00A037E1"/>
    <w:rsid w:val="00A044CB"/>
    <w:rsid w:val="00A0581C"/>
    <w:rsid w:val="00A07BBE"/>
    <w:rsid w:val="00A27841"/>
    <w:rsid w:val="00A279AA"/>
    <w:rsid w:val="00A302B2"/>
    <w:rsid w:val="00A30501"/>
    <w:rsid w:val="00A35A4D"/>
    <w:rsid w:val="00A4070F"/>
    <w:rsid w:val="00A41A0F"/>
    <w:rsid w:val="00A43A8D"/>
    <w:rsid w:val="00A5264C"/>
    <w:rsid w:val="00A52E2A"/>
    <w:rsid w:val="00A53E93"/>
    <w:rsid w:val="00A549E7"/>
    <w:rsid w:val="00A54E02"/>
    <w:rsid w:val="00A562B1"/>
    <w:rsid w:val="00A60C32"/>
    <w:rsid w:val="00A6312C"/>
    <w:rsid w:val="00A65B9F"/>
    <w:rsid w:val="00A706E1"/>
    <w:rsid w:val="00A70730"/>
    <w:rsid w:val="00A71031"/>
    <w:rsid w:val="00A75520"/>
    <w:rsid w:val="00A776F0"/>
    <w:rsid w:val="00A80248"/>
    <w:rsid w:val="00A81964"/>
    <w:rsid w:val="00A97240"/>
    <w:rsid w:val="00AA1C29"/>
    <w:rsid w:val="00AA2169"/>
    <w:rsid w:val="00AA487C"/>
    <w:rsid w:val="00AB16C1"/>
    <w:rsid w:val="00AB2E7A"/>
    <w:rsid w:val="00AB581D"/>
    <w:rsid w:val="00AB62F7"/>
    <w:rsid w:val="00AB754F"/>
    <w:rsid w:val="00AB7FCA"/>
    <w:rsid w:val="00AC0744"/>
    <w:rsid w:val="00AD32CF"/>
    <w:rsid w:val="00AD7E2D"/>
    <w:rsid w:val="00AE26E4"/>
    <w:rsid w:val="00AE7243"/>
    <w:rsid w:val="00AF0A61"/>
    <w:rsid w:val="00AF3D1B"/>
    <w:rsid w:val="00AF784F"/>
    <w:rsid w:val="00B06503"/>
    <w:rsid w:val="00B0794C"/>
    <w:rsid w:val="00B07F3A"/>
    <w:rsid w:val="00B10807"/>
    <w:rsid w:val="00B11747"/>
    <w:rsid w:val="00B200F1"/>
    <w:rsid w:val="00B26E31"/>
    <w:rsid w:val="00B317FF"/>
    <w:rsid w:val="00B4249B"/>
    <w:rsid w:val="00B4339E"/>
    <w:rsid w:val="00B44B3E"/>
    <w:rsid w:val="00B471AD"/>
    <w:rsid w:val="00B5247B"/>
    <w:rsid w:val="00B55A5D"/>
    <w:rsid w:val="00B6055F"/>
    <w:rsid w:val="00B60C34"/>
    <w:rsid w:val="00B64134"/>
    <w:rsid w:val="00B65887"/>
    <w:rsid w:val="00B65BF1"/>
    <w:rsid w:val="00B665DE"/>
    <w:rsid w:val="00B726D0"/>
    <w:rsid w:val="00B8230E"/>
    <w:rsid w:val="00B84B9B"/>
    <w:rsid w:val="00B8745D"/>
    <w:rsid w:val="00B9072E"/>
    <w:rsid w:val="00B9525B"/>
    <w:rsid w:val="00BA321F"/>
    <w:rsid w:val="00BA6415"/>
    <w:rsid w:val="00BB2113"/>
    <w:rsid w:val="00BB22B3"/>
    <w:rsid w:val="00BB2B9B"/>
    <w:rsid w:val="00BB6763"/>
    <w:rsid w:val="00BC095B"/>
    <w:rsid w:val="00BC429C"/>
    <w:rsid w:val="00BC58D5"/>
    <w:rsid w:val="00BC7C3C"/>
    <w:rsid w:val="00BD3093"/>
    <w:rsid w:val="00BD41FF"/>
    <w:rsid w:val="00BD7829"/>
    <w:rsid w:val="00BE13E4"/>
    <w:rsid w:val="00BE4614"/>
    <w:rsid w:val="00BF185D"/>
    <w:rsid w:val="00BF5D97"/>
    <w:rsid w:val="00C0060F"/>
    <w:rsid w:val="00C018E1"/>
    <w:rsid w:val="00C0728A"/>
    <w:rsid w:val="00C105E2"/>
    <w:rsid w:val="00C108CC"/>
    <w:rsid w:val="00C11211"/>
    <w:rsid w:val="00C118CE"/>
    <w:rsid w:val="00C12E7B"/>
    <w:rsid w:val="00C1362B"/>
    <w:rsid w:val="00C1756C"/>
    <w:rsid w:val="00C23040"/>
    <w:rsid w:val="00C2352A"/>
    <w:rsid w:val="00C238FE"/>
    <w:rsid w:val="00C24A99"/>
    <w:rsid w:val="00C24C21"/>
    <w:rsid w:val="00C310AD"/>
    <w:rsid w:val="00C336AF"/>
    <w:rsid w:val="00C4049D"/>
    <w:rsid w:val="00C45810"/>
    <w:rsid w:val="00C46662"/>
    <w:rsid w:val="00C46D8C"/>
    <w:rsid w:val="00C47090"/>
    <w:rsid w:val="00C4723D"/>
    <w:rsid w:val="00C50189"/>
    <w:rsid w:val="00C533C6"/>
    <w:rsid w:val="00C54452"/>
    <w:rsid w:val="00C558DA"/>
    <w:rsid w:val="00C6388B"/>
    <w:rsid w:val="00C7272B"/>
    <w:rsid w:val="00C758F3"/>
    <w:rsid w:val="00C76850"/>
    <w:rsid w:val="00C77505"/>
    <w:rsid w:val="00C77735"/>
    <w:rsid w:val="00C86993"/>
    <w:rsid w:val="00C86BE0"/>
    <w:rsid w:val="00C86E90"/>
    <w:rsid w:val="00C9117E"/>
    <w:rsid w:val="00C917CA"/>
    <w:rsid w:val="00C91E9E"/>
    <w:rsid w:val="00C92244"/>
    <w:rsid w:val="00C933C3"/>
    <w:rsid w:val="00C93898"/>
    <w:rsid w:val="00C94A37"/>
    <w:rsid w:val="00C97FA1"/>
    <w:rsid w:val="00CA760B"/>
    <w:rsid w:val="00CB03E4"/>
    <w:rsid w:val="00CC1D43"/>
    <w:rsid w:val="00CC3C88"/>
    <w:rsid w:val="00CC524A"/>
    <w:rsid w:val="00CC56D4"/>
    <w:rsid w:val="00CC7D2B"/>
    <w:rsid w:val="00CD0C8E"/>
    <w:rsid w:val="00CD42B0"/>
    <w:rsid w:val="00CD4D17"/>
    <w:rsid w:val="00CE5353"/>
    <w:rsid w:val="00CF4870"/>
    <w:rsid w:val="00CF50AA"/>
    <w:rsid w:val="00CF778D"/>
    <w:rsid w:val="00D002A7"/>
    <w:rsid w:val="00D01EB2"/>
    <w:rsid w:val="00D031F6"/>
    <w:rsid w:val="00D226A3"/>
    <w:rsid w:val="00D23DD2"/>
    <w:rsid w:val="00D259F2"/>
    <w:rsid w:val="00D30D19"/>
    <w:rsid w:val="00D36CD9"/>
    <w:rsid w:val="00D44E46"/>
    <w:rsid w:val="00D47BFC"/>
    <w:rsid w:val="00D5430A"/>
    <w:rsid w:val="00D55000"/>
    <w:rsid w:val="00D6130C"/>
    <w:rsid w:val="00D618D3"/>
    <w:rsid w:val="00D64682"/>
    <w:rsid w:val="00D65679"/>
    <w:rsid w:val="00D67F8F"/>
    <w:rsid w:val="00D7094A"/>
    <w:rsid w:val="00D73AEE"/>
    <w:rsid w:val="00D87F47"/>
    <w:rsid w:val="00D960BD"/>
    <w:rsid w:val="00DA2B88"/>
    <w:rsid w:val="00DA485E"/>
    <w:rsid w:val="00DA4E01"/>
    <w:rsid w:val="00DA5051"/>
    <w:rsid w:val="00DB0773"/>
    <w:rsid w:val="00DB08B9"/>
    <w:rsid w:val="00DC025B"/>
    <w:rsid w:val="00DC0ECC"/>
    <w:rsid w:val="00DC169D"/>
    <w:rsid w:val="00DC5538"/>
    <w:rsid w:val="00DC6EB9"/>
    <w:rsid w:val="00DD34BF"/>
    <w:rsid w:val="00DD4067"/>
    <w:rsid w:val="00DD532E"/>
    <w:rsid w:val="00DE567D"/>
    <w:rsid w:val="00DE6466"/>
    <w:rsid w:val="00DF282F"/>
    <w:rsid w:val="00DF360D"/>
    <w:rsid w:val="00DF4F67"/>
    <w:rsid w:val="00DF4F75"/>
    <w:rsid w:val="00E03E1E"/>
    <w:rsid w:val="00E04294"/>
    <w:rsid w:val="00E11D96"/>
    <w:rsid w:val="00E11DDC"/>
    <w:rsid w:val="00E14B22"/>
    <w:rsid w:val="00E208BD"/>
    <w:rsid w:val="00E21763"/>
    <w:rsid w:val="00E24292"/>
    <w:rsid w:val="00E2596B"/>
    <w:rsid w:val="00E25DEA"/>
    <w:rsid w:val="00E25E72"/>
    <w:rsid w:val="00E26AB5"/>
    <w:rsid w:val="00E31075"/>
    <w:rsid w:val="00E34DE3"/>
    <w:rsid w:val="00E5132C"/>
    <w:rsid w:val="00E53561"/>
    <w:rsid w:val="00E543C6"/>
    <w:rsid w:val="00E6302D"/>
    <w:rsid w:val="00E654DB"/>
    <w:rsid w:val="00E65D47"/>
    <w:rsid w:val="00E75334"/>
    <w:rsid w:val="00E81F0A"/>
    <w:rsid w:val="00E83BB8"/>
    <w:rsid w:val="00E848E1"/>
    <w:rsid w:val="00E92510"/>
    <w:rsid w:val="00E94082"/>
    <w:rsid w:val="00EA1D31"/>
    <w:rsid w:val="00EA430E"/>
    <w:rsid w:val="00EC3529"/>
    <w:rsid w:val="00EC5B34"/>
    <w:rsid w:val="00ED1A34"/>
    <w:rsid w:val="00ED3F47"/>
    <w:rsid w:val="00EE10E4"/>
    <w:rsid w:val="00EF2B61"/>
    <w:rsid w:val="00EF38F0"/>
    <w:rsid w:val="00EF47A9"/>
    <w:rsid w:val="00EF7350"/>
    <w:rsid w:val="00F03A26"/>
    <w:rsid w:val="00F05A4F"/>
    <w:rsid w:val="00F14EBE"/>
    <w:rsid w:val="00F2077E"/>
    <w:rsid w:val="00F21DBA"/>
    <w:rsid w:val="00F229A0"/>
    <w:rsid w:val="00F23A06"/>
    <w:rsid w:val="00F2508A"/>
    <w:rsid w:val="00F25AB3"/>
    <w:rsid w:val="00F2792E"/>
    <w:rsid w:val="00F36BF7"/>
    <w:rsid w:val="00F37D5D"/>
    <w:rsid w:val="00F4423F"/>
    <w:rsid w:val="00F44782"/>
    <w:rsid w:val="00F4499E"/>
    <w:rsid w:val="00F44FA7"/>
    <w:rsid w:val="00F50B0D"/>
    <w:rsid w:val="00F5364E"/>
    <w:rsid w:val="00F53ED2"/>
    <w:rsid w:val="00F55681"/>
    <w:rsid w:val="00F6188F"/>
    <w:rsid w:val="00F67128"/>
    <w:rsid w:val="00F765BD"/>
    <w:rsid w:val="00F80D6A"/>
    <w:rsid w:val="00F86497"/>
    <w:rsid w:val="00F91700"/>
    <w:rsid w:val="00F91DE4"/>
    <w:rsid w:val="00FA45D3"/>
    <w:rsid w:val="00FA78AD"/>
    <w:rsid w:val="00FA7BE8"/>
    <w:rsid w:val="00FB64C6"/>
    <w:rsid w:val="00FB69D2"/>
    <w:rsid w:val="00FC3567"/>
    <w:rsid w:val="00FC688E"/>
    <w:rsid w:val="00FD2D25"/>
    <w:rsid w:val="00FD4807"/>
    <w:rsid w:val="00FE245E"/>
    <w:rsid w:val="00FE4B0C"/>
    <w:rsid w:val="00FE75CA"/>
    <w:rsid w:val="00FE7B15"/>
    <w:rsid w:val="00FF238B"/>
    <w:rsid w:val="00FF2ADF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884"/>
    <w:rPr>
      <w:sz w:val="24"/>
      <w:szCs w:val="24"/>
    </w:rPr>
  </w:style>
  <w:style w:type="paragraph" w:styleId="1">
    <w:name w:val="heading 1"/>
    <w:basedOn w:val="a"/>
    <w:next w:val="a"/>
    <w:qFormat/>
    <w:rsid w:val="002378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C3381"/>
    <w:pPr>
      <w:spacing w:before="100" w:beforeAutospacing="1" w:after="100" w:afterAutospacing="1"/>
    </w:pPr>
  </w:style>
  <w:style w:type="character" w:styleId="a5">
    <w:name w:val="Strong"/>
    <w:qFormat/>
    <w:rsid w:val="007C3381"/>
    <w:rPr>
      <w:b/>
      <w:bCs/>
    </w:rPr>
  </w:style>
  <w:style w:type="character" w:styleId="a6">
    <w:name w:val="Emphasis"/>
    <w:qFormat/>
    <w:rsid w:val="007C3381"/>
    <w:rPr>
      <w:i/>
      <w:iCs/>
    </w:rPr>
  </w:style>
  <w:style w:type="paragraph" w:styleId="a7">
    <w:name w:val="Body Text Indent"/>
    <w:basedOn w:val="a"/>
    <w:link w:val="a8"/>
    <w:rsid w:val="007C3381"/>
    <w:pPr>
      <w:spacing w:before="100" w:beforeAutospacing="1" w:after="100" w:afterAutospacing="1"/>
    </w:pPr>
    <w:rPr>
      <w:lang/>
    </w:rPr>
  </w:style>
  <w:style w:type="character" w:styleId="a9">
    <w:name w:val="footnote reference"/>
    <w:basedOn w:val="a0"/>
    <w:rsid w:val="007C3381"/>
  </w:style>
  <w:style w:type="paragraph" w:styleId="aa">
    <w:name w:val="header"/>
    <w:basedOn w:val="a"/>
    <w:link w:val="ab"/>
    <w:rsid w:val="007C338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7C3381"/>
    <w:pPr>
      <w:spacing w:before="100" w:beforeAutospacing="1" w:after="100" w:afterAutospacing="1"/>
    </w:pPr>
  </w:style>
  <w:style w:type="table" w:styleId="ae">
    <w:name w:val="Table Grid"/>
    <w:basedOn w:val="a1"/>
    <w:rsid w:val="00D226A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CD0C8E"/>
    <w:rPr>
      <w:sz w:val="24"/>
      <w:szCs w:val="24"/>
      <w:lang w:val="ru-RU" w:eastAsia="ru-RU" w:bidi="ar-SA"/>
    </w:rPr>
  </w:style>
  <w:style w:type="character" w:customStyle="1" w:styleId="ad">
    <w:name w:val="Текст сноски Знак"/>
    <w:link w:val="ac"/>
    <w:semiHidden/>
    <w:rsid w:val="00CD0C8E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uiPriority w:val="10"/>
    <w:rsid w:val="00CD0C8E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7C25ED"/>
    <w:pPr>
      <w:spacing w:after="120"/>
    </w:pPr>
  </w:style>
  <w:style w:type="paragraph" w:styleId="af0">
    <w:name w:val="footer"/>
    <w:basedOn w:val="a"/>
    <w:rsid w:val="002568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56874"/>
  </w:style>
  <w:style w:type="paragraph" w:styleId="af2">
    <w:name w:val="Balloon Text"/>
    <w:basedOn w:val="a"/>
    <w:semiHidden/>
    <w:rsid w:val="00D960B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14311E"/>
    <w:rPr>
      <w:sz w:val="24"/>
      <w:szCs w:val="24"/>
    </w:rPr>
  </w:style>
  <w:style w:type="paragraph" w:styleId="af3">
    <w:name w:val="Normal (Web)"/>
    <w:basedOn w:val="a"/>
    <w:uiPriority w:val="99"/>
    <w:unhideWhenUsed/>
    <w:rsid w:val="0063536E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801A68"/>
    <w:rPr>
      <w:strike w:val="0"/>
      <w:dstrike w:val="0"/>
      <w:color w:val="005685"/>
      <w:u w:val="none"/>
      <w:effect w:val="none"/>
    </w:rPr>
  </w:style>
  <w:style w:type="table" w:styleId="2-5">
    <w:name w:val="Medium Shading 2 Accent 5"/>
    <w:basedOn w:val="a1"/>
    <w:uiPriority w:val="64"/>
    <w:rsid w:val="00BB21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BB211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">
    <w:name w:val="Light List Accent 1"/>
    <w:basedOn w:val="a1"/>
    <w:uiPriority w:val="61"/>
    <w:rsid w:val="00BB211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78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C3381"/>
    <w:pPr>
      <w:spacing w:before="100" w:beforeAutospacing="1" w:after="100" w:afterAutospacing="1"/>
    </w:pPr>
  </w:style>
  <w:style w:type="character" w:styleId="a5">
    <w:name w:val="Strong"/>
    <w:qFormat/>
    <w:rsid w:val="007C3381"/>
    <w:rPr>
      <w:b/>
      <w:bCs/>
    </w:rPr>
  </w:style>
  <w:style w:type="character" w:styleId="a6">
    <w:name w:val="Emphasis"/>
    <w:qFormat/>
    <w:rsid w:val="007C3381"/>
    <w:rPr>
      <w:i/>
      <w:iCs/>
    </w:rPr>
  </w:style>
  <w:style w:type="paragraph" w:styleId="a7">
    <w:name w:val="Body Text Indent"/>
    <w:basedOn w:val="a"/>
    <w:link w:val="a8"/>
    <w:rsid w:val="007C3381"/>
    <w:pPr>
      <w:spacing w:before="100" w:beforeAutospacing="1" w:after="100" w:afterAutospacing="1"/>
    </w:pPr>
    <w:rPr>
      <w:lang w:val="x-none" w:eastAsia="x-none"/>
    </w:rPr>
  </w:style>
  <w:style w:type="character" w:styleId="a9">
    <w:name w:val="footnote reference"/>
    <w:basedOn w:val="a0"/>
    <w:rsid w:val="007C3381"/>
  </w:style>
  <w:style w:type="paragraph" w:styleId="aa">
    <w:name w:val="header"/>
    <w:basedOn w:val="a"/>
    <w:link w:val="ab"/>
    <w:rsid w:val="007C338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7C3381"/>
    <w:pPr>
      <w:spacing w:before="100" w:beforeAutospacing="1" w:after="100" w:afterAutospacing="1"/>
    </w:pPr>
  </w:style>
  <w:style w:type="table" w:styleId="ae">
    <w:name w:val="Table Grid"/>
    <w:basedOn w:val="a1"/>
    <w:rsid w:val="00D226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rsid w:val="00CD0C8E"/>
    <w:rPr>
      <w:sz w:val="24"/>
      <w:szCs w:val="24"/>
      <w:lang w:val="ru-RU" w:eastAsia="ru-RU" w:bidi="ar-SA"/>
    </w:rPr>
  </w:style>
  <w:style w:type="character" w:customStyle="1" w:styleId="ad">
    <w:name w:val="Текст сноски Знак"/>
    <w:link w:val="ac"/>
    <w:semiHidden/>
    <w:rsid w:val="00CD0C8E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uiPriority w:val="10"/>
    <w:rsid w:val="00CD0C8E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7C25ED"/>
    <w:pPr>
      <w:spacing w:after="120"/>
    </w:pPr>
  </w:style>
  <w:style w:type="paragraph" w:styleId="af0">
    <w:name w:val="footer"/>
    <w:basedOn w:val="a"/>
    <w:rsid w:val="002568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56874"/>
  </w:style>
  <w:style w:type="paragraph" w:styleId="af2">
    <w:name w:val="Balloon Text"/>
    <w:basedOn w:val="a"/>
    <w:semiHidden/>
    <w:rsid w:val="00D960B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14311E"/>
    <w:rPr>
      <w:sz w:val="24"/>
      <w:szCs w:val="24"/>
    </w:rPr>
  </w:style>
  <w:style w:type="paragraph" w:styleId="af3">
    <w:name w:val="Normal (Web)"/>
    <w:basedOn w:val="a"/>
    <w:uiPriority w:val="99"/>
    <w:unhideWhenUsed/>
    <w:rsid w:val="0063536E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801A68"/>
    <w:rPr>
      <w:strike w:val="0"/>
      <w:dstrike w:val="0"/>
      <w:color w:val="005685"/>
      <w:u w:val="none"/>
      <w:effect w:val="none"/>
    </w:rPr>
  </w:style>
  <w:style w:type="table" w:styleId="2-5">
    <w:name w:val="Medium Shading 2 Accent 5"/>
    <w:basedOn w:val="a1"/>
    <w:uiPriority w:val="64"/>
    <w:rsid w:val="00BB21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BB211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">
    <w:name w:val="Light List Accent 1"/>
    <w:basedOn w:val="a1"/>
    <w:uiPriority w:val="61"/>
    <w:rsid w:val="00BB21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2284315825934842E-2"/>
          <c:y val="0.15472003831758341"/>
          <c:w val="0.9400202502820999"/>
          <c:h val="0.57649004708874463"/>
        </c:manualLayout>
      </c:layout>
      <c:barChart>
        <c:barDir val="col"/>
        <c:grouping val="clustered"/>
        <c:ser>
          <c:idx val="0"/>
          <c:order val="0"/>
          <c:tx>
            <c:v>2013 г.</c:v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0" scaled="0"/>
            </a:gradFill>
          </c:spPr>
          <c:dLbls>
            <c:dLbl>
              <c:idx val="1"/>
              <c:layout>
                <c:manualLayout>
                  <c:x val="-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795539112013511E-3"/>
                  <c:y val="1.082014344357881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5.591078224027022E-3"/>
                  <c:y val="0"/>
                </c:manualLayout>
              </c:layout>
              <c:dLblPos val="outEnd"/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795539112013511E-3"/>
                  <c:y val="1.3525179304473525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1933086680202673E-3"/>
                  <c:y val="1.0820143443578815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0"/>
                  <c:y val="8.1151075826841109E-3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-2.795539112013511E-3"/>
                  <c:y val="5.4100717217894084E-3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-1.3977695560067555E-3"/>
                  <c:y val="1.0820143443578815E-2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1.3977695560067555E-3"/>
                  <c:y val="8.1151075826841109E-3"/>
                </c:manualLayout>
              </c:layout>
              <c:dLblPos val="outEnd"/>
              <c:showVal val="1"/>
            </c:dLbl>
            <c:dLbl>
              <c:idx val="24"/>
              <c:layout>
                <c:manualLayout>
                  <c:x val="-4.1933086680202673E-3"/>
                  <c:y val="-2.7050358608947042E-3"/>
                </c:manualLayout>
              </c:layout>
              <c:dLblPos val="outEnd"/>
              <c:showVal val="1"/>
            </c:dLbl>
            <c:dLbl>
              <c:idx val="27"/>
              <c:layout>
                <c:manualLayout>
                  <c:x val="0"/>
                  <c:y val="1.0820143443578815E-2"/>
                </c:manualLayout>
              </c:layout>
              <c:dLblPos val="outEnd"/>
              <c:showVal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layout>
                <c:manualLayout>
                  <c:x val="-2.795539112013511E-3"/>
                  <c:y val="1.0820143443578815E-2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-4.1933086680202673E-3"/>
                  <c:y val="1.0820143443578815E-2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 val="-4.1933086680202673E-3"/>
                  <c:y val="0"/>
                </c:manualLayout>
              </c:layout>
              <c:dLblPos val="outEnd"/>
              <c:showVal val="1"/>
            </c:dLbl>
            <c:dLbl>
              <c:idx val="37"/>
              <c:layout>
                <c:manualLayout>
                  <c:x val="-2.7955391120134091E-3"/>
                  <c:y val="8.1151075826841109E-3"/>
                </c:manualLayout>
              </c:layout>
              <c:dLblPos val="outEnd"/>
              <c:showVal val="1"/>
            </c:dLbl>
            <c:dLbl>
              <c:idx val="38"/>
              <c:layout>
                <c:manualLayout>
                  <c:x val="-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39"/>
              <c:layout>
                <c:manualLayout>
                  <c:x val="-1.3977695560067555E-3"/>
                  <c:y val="1.6230215165368222E-2"/>
                </c:manualLayout>
              </c:layout>
              <c:dLblPos val="outEnd"/>
              <c:showVal val="1"/>
            </c:dLbl>
            <c:dLbl>
              <c:idx val="40"/>
              <c:layout>
                <c:manualLayout>
                  <c:x val="-4.1933086680203697E-3"/>
                  <c:y val="1.0820143443578815E-2"/>
                </c:manualLayout>
              </c:layout>
              <c:dLblPos val="outEnd"/>
              <c:showVal val="1"/>
            </c:dLbl>
            <c:dLbl>
              <c:idx val="41"/>
              <c:layout>
                <c:manualLayout>
                  <c:x val="-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42"/>
              <c:layout>
                <c:manualLayout>
                  <c:x val="-4.1933086680202673E-3"/>
                  <c:y val="5.4100717217894084E-3"/>
                </c:manualLayout>
              </c:layout>
              <c:dLblPos val="outEnd"/>
              <c:showVal val="1"/>
            </c:dLbl>
            <c:dLbl>
              <c:idx val="44"/>
              <c:layout>
                <c:manualLayout>
                  <c:x val="-1.3977695560067555E-3"/>
                  <c:y val="8.115107582684110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98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Лист1!$A$41:$A$85</c:f>
              <c:strCache>
                <c:ptCount val="45"/>
                <c:pt idx="0">
                  <c:v>Амурская</c:v>
                </c:pt>
                <c:pt idx="1">
                  <c:v>Архангельская</c:v>
                </c:pt>
                <c:pt idx="2">
                  <c:v>Астраханская</c:v>
                </c:pt>
                <c:pt idx="3">
                  <c:v>Белгородская</c:v>
                </c:pt>
                <c:pt idx="4">
                  <c:v>Брянская</c:v>
                </c:pt>
                <c:pt idx="5">
                  <c:v>Владимирская</c:v>
                </c:pt>
                <c:pt idx="6">
                  <c:v>Волгоградская</c:v>
                </c:pt>
                <c:pt idx="7">
                  <c:v>Вологодская</c:v>
                </c:pt>
                <c:pt idx="8">
                  <c:v>Воронежская</c:v>
                </c:pt>
                <c:pt idx="9">
                  <c:v>Ивановская</c:v>
                </c:pt>
                <c:pt idx="10">
                  <c:v>Иркутская</c:v>
                </c:pt>
                <c:pt idx="11">
                  <c:v>Калининградская</c:v>
                </c:pt>
                <c:pt idx="12">
                  <c:v>Калужская</c:v>
                </c:pt>
                <c:pt idx="13">
                  <c:v>Кемеровская</c:v>
                </c:pt>
                <c:pt idx="14">
                  <c:v>Кировская</c:v>
                </c:pt>
                <c:pt idx="15">
                  <c:v>Костромская</c:v>
                </c:pt>
                <c:pt idx="16">
                  <c:v>Курганская</c:v>
                </c:pt>
                <c:pt idx="17">
                  <c:v>Курская</c:v>
                </c:pt>
                <c:pt idx="18">
                  <c:v>Ленинградская</c:v>
                </c:pt>
                <c:pt idx="19">
                  <c:v>Липецкая</c:v>
                </c:pt>
                <c:pt idx="20">
                  <c:v>Магаданская</c:v>
                </c:pt>
                <c:pt idx="21">
                  <c:v>Мурманская</c:v>
                </c:pt>
                <c:pt idx="22">
                  <c:v>Нижегородская</c:v>
                </c:pt>
                <c:pt idx="23">
                  <c:v>Новгородская</c:v>
                </c:pt>
                <c:pt idx="24">
                  <c:v>Новосибирская</c:v>
                </c:pt>
                <c:pt idx="25">
                  <c:v>Омская</c:v>
                </c:pt>
                <c:pt idx="26">
                  <c:v>Оренбургская</c:v>
                </c:pt>
                <c:pt idx="27">
                  <c:v>Орловская</c:v>
                </c:pt>
                <c:pt idx="28">
                  <c:v>Пензенская</c:v>
                </c:pt>
                <c:pt idx="29">
                  <c:v>Псковская</c:v>
                </c:pt>
                <c:pt idx="30">
                  <c:v>Ростовская</c:v>
                </c:pt>
                <c:pt idx="31">
                  <c:v>Рязанская</c:v>
                </c:pt>
                <c:pt idx="32">
                  <c:v>Самарская</c:v>
                </c:pt>
                <c:pt idx="33">
                  <c:v>Саратовская</c:v>
                </c:pt>
                <c:pt idx="34">
                  <c:v>Сахалинская</c:v>
                </c:pt>
                <c:pt idx="35">
                  <c:v>Свердловская</c:v>
                </c:pt>
                <c:pt idx="36">
                  <c:v>Смоленская</c:v>
                </c:pt>
                <c:pt idx="37">
                  <c:v>Тамбовская</c:v>
                </c:pt>
                <c:pt idx="38">
                  <c:v>Тверская</c:v>
                </c:pt>
                <c:pt idx="39">
                  <c:v>Томская</c:v>
                </c:pt>
                <c:pt idx="40">
                  <c:v>Тульская</c:v>
                </c:pt>
                <c:pt idx="41">
                  <c:v>Тюменская</c:v>
                </c:pt>
                <c:pt idx="42">
                  <c:v>Ульяновская</c:v>
                </c:pt>
                <c:pt idx="43">
                  <c:v>Челябинская</c:v>
                </c:pt>
                <c:pt idx="44">
                  <c:v>Ярославская</c:v>
                </c:pt>
              </c:strCache>
            </c:strRef>
          </c:cat>
          <c:val>
            <c:numRef>
              <c:f>Лист1!$B$41:$B$85</c:f>
              <c:numCache>
                <c:formatCode>General</c:formatCode>
                <c:ptCount val="45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10</c:v>
                </c:pt>
                <c:pt idx="4">
                  <c:v>0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7</c:v>
                </c:pt>
                <c:pt idx="9">
                  <c:v>1</c:v>
                </c:pt>
                <c:pt idx="10">
                  <c:v>13</c:v>
                </c:pt>
                <c:pt idx="11">
                  <c:v>8</c:v>
                </c:pt>
                <c:pt idx="12">
                  <c:v>10</c:v>
                </c:pt>
                <c:pt idx="13">
                  <c:v>11</c:v>
                </c:pt>
                <c:pt idx="14">
                  <c:v>1</c:v>
                </c:pt>
                <c:pt idx="15">
                  <c:v>4</c:v>
                </c:pt>
                <c:pt idx="16">
                  <c:v>5</c:v>
                </c:pt>
                <c:pt idx="17">
                  <c:v>1</c:v>
                </c:pt>
                <c:pt idx="18">
                  <c:v>8</c:v>
                </c:pt>
                <c:pt idx="19">
                  <c:v>8</c:v>
                </c:pt>
                <c:pt idx="20">
                  <c:v>1</c:v>
                </c:pt>
                <c:pt idx="21">
                  <c:v>4</c:v>
                </c:pt>
                <c:pt idx="22">
                  <c:v>13</c:v>
                </c:pt>
                <c:pt idx="23">
                  <c:v>8</c:v>
                </c:pt>
                <c:pt idx="24">
                  <c:v>14</c:v>
                </c:pt>
                <c:pt idx="25">
                  <c:v>9</c:v>
                </c:pt>
                <c:pt idx="26">
                  <c:v>9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13</c:v>
                </c:pt>
                <c:pt idx="31">
                  <c:v>4</c:v>
                </c:pt>
                <c:pt idx="32">
                  <c:v>18</c:v>
                </c:pt>
                <c:pt idx="33">
                  <c:v>39</c:v>
                </c:pt>
                <c:pt idx="34">
                  <c:v>9</c:v>
                </c:pt>
                <c:pt idx="35">
                  <c:v>26</c:v>
                </c:pt>
                <c:pt idx="36">
                  <c:v>8</c:v>
                </c:pt>
                <c:pt idx="37">
                  <c:v>2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15</c:v>
                </c:pt>
                <c:pt idx="42">
                  <c:v>12</c:v>
                </c:pt>
                <c:pt idx="43">
                  <c:v>16</c:v>
                </c:pt>
                <c:pt idx="44">
                  <c:v>7</c:v>
                </c:pt>
              </c:numCache>
            </c:numRef>
          </c:val>
        </c:ser>
        <c:ser>
          <c:idx val="1"/>
          <c:order val="1"/>
          <c:tx>
            <c:v>2014 г.</c:v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0" scaled="0"/>
            </a:gradFill>
          </c:spPr>
          <c:dLbls>
            <c:dLbl>
              <c:idx val="3"/>
              <c:layout>
                <c:manualLayout>
                  <c:x val="5.590968163432063E-3"/>
                  <c:y val="8.115107582684110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977695560067555E-3"/>
                  <c:y val="5.4100717217894084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8.3866173360405364E-3"/>
                  <c:y val="5.4100717217894084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4.1933086680202673E-3"/>
                  <c:y val="8.1151075826841109E-3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3977695560067555E-3"/>
                  <c:y val="-8.1151075826841109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6.9888477800337818E-3"/>
                  <c:y val="1.6230215165368222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1.3977695560067555E-3"/>
                  <c:y val="8.1151075826841109E-3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2.795539112013511E-3"/>
                  <c:y val="8.1151075826841109E-3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4.1933086680202136E-3"/>
                  <c:y val="1.3525179304473525E-2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8.3866173360405364E-3"/>
                  <c:y val="8.1151075826841109E-3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2.795539112013511E-3"/>
                  <c:y val="5.4100717217894084E-3"/>
                </c:manualLayout>
              </c:layout>
              <c:dLblPos val="outEnd"/>
              <c:showVal val="1"/>
            </c:dLbl>
            <c:dLbl>
              <c:idx val="24"/>
              <c:layout>
                <c:manualLayout>
                  <c:x val="6.9888477800337818E-3"/>
                  <c:y val="1.3525179304473525E-2"/>
                </c:manualLayout>
              </c:layout>
              <c:dLblPos val="outEnd"/>
              <c:showVal val="1"/>
            </c:dLbl>
            <c:dLbl>
              <c:idx val="26"/>
              <c:layout>
                <c:manualLayout>
                  <c:x val="4.1933086680202673E-3"/>
                  <c:y val="1.3525179304473525E-2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6.9888477800337818E-3"/>
                  <c:y val="1.8935251026262923E-2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 val="4.1933086680202673E-3"/>
                  <c:y val="1.0820143443578815E-2"/>
                </c:manualLayout>
              </c:layout>
              <c:dLblPos val="outEnd"/>
              <c:showVal val="1"/>
            </c:dLbl>
            <c:dLbl>
              <c:idx val="35"/>
              <c:layout>
                <c:manualLayout>
                  <c:x val="4.1933086680202673E-3"/>
                  <c:y val="-8.115107582684156E-3"/>
                </c:manualLayout>
              </c:layout>
              <c:dLblPos val="outEnd"/>
              <c:showVal val="1"/>
            </c:dLbl>
            <c:dLbl>
              <c:idx val="40"/>
              <c:layout>
                <c:manualLayout>
                  <c:x val="-4.1933086680202673E-3"/>
                  <c:y val="0"/>
                </c:manualLayout>
              </c:layout>
              <c:dLblPos val="outEnd"/>
              <c:showVal val="1"/>
            </c:dLbl>
            <c:dLbl>
              <c:idx val="43"/>
              <c:layout>
                <c:manualLayout>
                  <c:x val="1.2579926004060795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98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Лист1!$A$41:$A$85</c:f>
              <c:strCache>
                <c:ptCount val="45"/>
                <c:pt idx="0">
                  <c:v>Амурская</c:v>
                </c:pt>
                <c:pt idx="1">
                  <c:v>Архангельская</c:v>
                </c:pt>
                <c:pt idx="2">
                  <c:v>Астраханская</c:v>
                </c:pt>
                <c:pt idx="3">
                  <c:v>Белгородская</c:v>
                </c:pt>
                <c:pt idx="4">
                  <c:v>Брянская</c:v>
                </c:pt>
                <c:pt idx="5">
                  <c:v>Владимирская</c:v>
                </c:pt>
                <c:pt idx="6">
                  <c:v>Волгоградская</c:v>
                </c:pt>
                <c:pt idx="7">
                  <c:v>Вологодская</c:v>
                </c:pt>
                <c:pt idx="8">
                  <c:v>Воронежская</c:v>
                </c:pt>
                <c:pt idx="9">
                  <c:v>Ивановская</c:v>
                </c:pt>
                <c:pt idx="10">
                  <c:v>Иркутская</c:v>
                </c:pt>
                <c:pt idx="11">
                  <c:v>Калининградская</c:v>
                </c:pt>
                <c:pt idx="12">
                  <c:v>Калужская</c:v>
                </c:pt>
                <c:pt idx="13">
                  <c:v>Кемеровская</c:v>
                </c:pt>
                <c:pt idx="14">
                  <c:v>Кировская</c:v>
                </c:pt>
                <c:pt idx="15">
                  <c:v>Костромская</c:v>
                </c:pt>
                <c:pt idx="16">
                  <c:v>Курганская</c:v>
                </c:pt>
                <c:pt idx="17">
                  <c:v>Курская</c:v>
                </c:pt>
                <c:pt idx="18">
                  <c:v>Ленинградская</c:v>
                </c:pt>
                <c:pt idx="19">
                  <c:v>Липецкая</c:v>
                </c:pt>
                <c:pt idx="20">
                  <c:v>Магаданская</c:v>
                </c:pt>
                <c:pt idx="21">
                  <c:v>Мурманская</c:v>
                </c:pt>
                <c:pt idx="22">
                  <c:v>Нижегородская</c:v>
                </c:pt>
                <c:pt idx="23">
                  <c:v>Новгородская</c:v>
                </c:pt>
                <c:pt idx="24">
                  <c:v>Новосибирская</c:v>
                </c:pt>
                <c:pt idx="25">
                  <c:v>Омская</c:v>
                </c:pt>
                <c:pt idx="26">
                  <c:v>Оренбургская</c:v>
                </c:pt>
                <c:pt idx="27">
                  <c:v>Орловская</c:v>
                </c:pt>
                <c:pt idx="28">
                  <c:v>Пензенская</c:v>
                </c:pt>
                <c:pt idx="29">
                  <c:v>Псковская</c:v>
                </c:pt>
                <c:pt idx="30">
                  <c:v>Ростовская</c:v>
                </c:pt>
                <c:pt idx="31">
                  <c:v>Рязанская</c:v>
                </c:pt>
                <c:pt idx="32">
                  <c:v>Самарская</c:v>
                </c:pt>
                <c:pt idx="33">
                  <c:v>Саратовская</c:v>
                </c:pt>
                <c:pt idx="34">
                  <c:v>Сахалинская</c:v>
                </c:pt>
                <c:pt idx="35">
                  <c:v>Свердловская</c:v>
                </c:pt>
                <c:pt idx="36">
                  <c:v>Смоленская</c:v>
                </c:pt>
                <c:pt idx="37">
                  <c:v>Тамбовская</c:v>
                </c:pt>
                <c:pt idx="38">
                  <c:v>Тверская</c:v>
                </c:pt>
                <c:pt idx="39">
                  <c:v>Томская</c:v>
                </c:pt>
                <c:pt idx="40">
                  <c:v>Тульская</c:v>
                </c:pt>
                <c:pt idx="41">
                  <c:v>Тюменская</c:v>
                </c:pt>
                <c:pt idx="42">
                  <c:v>Ульяновская</c:v>
                </c:pt>
                <c:pt idx="43">
                  <c:v>Челябинская</c:v>
                </c:pt>
                <c:pt idx="44">
                  <c:v>Ярославская</c:v>
                </c:pt>
              </c:strCache>
            </c:strRef>
          </c:cat>
          <c:val>
            <c:numRef>
              <c:f>Лист1!$C$41:$C$85</c:f>
              <c:numCache>
                <c:formatCode>General</c:formatCode>
                <c:ptCount val="45"/>
                <c:pt idx="0">
                  <c:v>23</c:v>
                </c:pt>
                <c:pt idx="1">
                  <c:v>18</c:v>
                </c:pt>
                <c:pt idx="2">
                  <c:v>7</c:v>
                </c:pt>
                <c:pt idx="3">
                  <c:v>10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  <c:pt idx="7">
                  <c:v>13</c:v>
                </c:pt>
                <c:pt idx="8">
                  <c:v>7</c:v>
                </c:pt>
                <c:pt idx="9">
                  <c:v>12</c:v>
                </c:pt>
                <c:pt idx="10">
                  <c:v>15</c:v>
                </c:pt>
                <c:pt idx="11">
                  <c:v>8</c:v>
                </c:pt>
                <c:pt idx="12">
                  <c:v>12</c:v>
                </c:pt>
                <c:pt idx="13">
                  <c:v>11</c:v>
                </c:pt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31</c:v>
                </c:pt>
                <c:pt idx="18">
                  <c:v>18</c:v>
                </c:pt>
                <c:pt idx="19">
                  <c:v>8</c:v>
                </c:pt>
                <c:pt idx="20">
                  <c:v>13</c:v>
                </c:pt>
                <c:pt idx="21">
                  <c:v>24</c:v>
                </c:pt>
                <c:pt idx="22">
                  <c:v>13</c:v>
                </c:pt>
                <c:pt idx="23">
                  <c:v>8</c:v>
                </c:pt>
                <c:pt idx="24">
                  <c:v>14</c:v>
                </c:pt>
                <c:pt idx="25">
                  <c:v>19</c:v>
                </c:pt>
                <c:pt idx="26">
                  <c:v>9</c:v>
                </c:pt>
                <c:pt idx="27">
                  <c:v>11</c:v>
                </c:pt>
                <c:pt idx="28">
                  <c:v>10</c:v>
                </c:pt>
                <c:pt idx="29">
                  <c:v>15</c:v>
                </c:pt>
                <c:pt idx="30">
                  <c:v>13</c:v>
                </c:pt>
                <c:pt idx="31">
                  <c:v>25</c:v>
                </c:pt>
                <c:pt idx="32">
                  <c:v>18</c:v>
                </c:pt>
                <c:pt idx="33">
                  <c:v>59</c:v>
                </c:pt>
                <c:pt idx="34">
                  <c:v>12</c:v>
                </c:pt>
                <c:pt idx="35">
                  <c:v>28</c:v>
                </c:pt>
                <c:pt idx="36">
                  <c:v>12</c:v>
                </c:pt>
                <c:pt idx="37">
                  <c:v>32</c:v>
                </c:pt>
                <c:pt idx="38">
                  <c:v>14</c:v>
                </c:pt>
                <c:pt idx="39">
                  <c:v>4</c:v>
                </c:pt>
                <c:pt idx="40">
                  <c:v>15</c:v>
                </c:pt>
                <c:pt idx="41">
                  <c:v>45</c:v>
                </c:pt>
                <c:pt idx="42">
                  <c:v>22</c:v>
                </c:pt>
                <c:pt idx="43">
                  <c:v>16</c:v>
                </c:pt>
                <c:pt idx="44">
                  <c:v>7</c:v>
                </c:pt>
              </c:numCache>
            </c:numRef>
          </c:val>
        </c:ser>
        <c:axId val="50062464"/>
        <c:axId val="50064000"/>
      </c:barChart>
      <c:catAx>
        <c:axId val="50062464"/>
        <c:scaling>
          <c:orientation val="minMax"/>
        </c:scaling>
        <c:axPos val="b"/>
        <c:numFmt formatCode="General" sourceLinked="1"/>
        <c:tickLblPos val="nextTo"/>
        <c:crossAx val="50064000"/>
        <c:crosses val="autoZero"/>
        <c:auto val="1"/>
        <c:lblAlgn val="ctr"/>
        <c:lblOffset val="100"/>
      </c:catAx>
      <c:valAx>
        <c:axId val="50064000"/>
        <c:scaling>
          <c:orientation val="minMax"/>
        </c:scaling>
        <c:axPos val="l"/>
        <c:majorGridlines/>
        <c:numFmt formatCode="General" sourceLinked="1"/>
        <c:tickLblPos val="nextTo"/>
        <c:crossAx val="500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7557949104458953E-2"/>
          <c:y val="0.13837515098679495"/>
          <c:w val="0.18380768716024301"/>
          <c:h val="0.11639002527611073"/>
        </c:manualLayout>
      </c:layout>
      <c:txPr>
        <a:bodyPr/>
        <a:lstStyle/>
        <a:p>
          <a:pPr>
            <a:defRPr sz="1597" b="1" i="0" baseline="0"/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0.10473</cdr:x>
      <cdr:y>0.01403</cdr:y>
    </cdr:from>
    <cdr:to>
      <cdr:x>0.86964</cdr:x>
      <cdr:y>0.14062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0418" y="65810"/>
          <a:ext cx="6941495" cy="593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 i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Данные о</a:t>
          </a:r>
          <a:r>
            <a:rPr lang="ru-RU" sz="1600" b="1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количестве обращений граждан</a:t>
          </a:r>
          <a:endParaRPr lang="ru-RU" sz="16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ru-RU" sz="1600" b="1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2013-2014 годах по областям </a:t>
          </a:r>
          <a:endParaRPr lang="ru-RU" sz="16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BE6D-FD04-4A11-9F4F-D676F1F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</vt:lpstr>
    </vt:vector>
  </TitlesOfParts>
  <Company>Hewlett-Packard Company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</dc:title>
  <dc:subject/>
  <dc:creator>stepanosov</dc:creator>
  <cp:keywords/>
  <cp:lastModifiedBy>SD</cp:lastModifiedBy>
  <cp:revision>4</cp:revision>
  <cp:lastPrinted>2015-03-30T10:59:00Z</cp:lastPrinted>
  <dcterms:created xsi:type="dcterms:W3CDTF">2015-03-30T10:40:00Z</dcterms:created>
  <dcterms:modified xsi:type="dcterms:W3CDTF">2015-03-30T10:57:00Z</dcterms:modified>
</cp:coreProperties>
</file>