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87" w:rsidRDefault="00393C2B">
      <w:pPr>
        <w:pStyle w:val="af4"/>
        <w:tabs>
          <w:tab w:val="left" w:pos="4320"/>
          <w:tab w:val="left" w:pos="4500"/>
        </w:tabs>
        <w:spacing w:before="0" w:after="0"/>
        <w:ind w:firstLine="709"/>
      </w:pPr>
      <w:r>
        <w:rPr>
          <w:b/>
        </w:rPr>
        <w:t>Информация для</w:t>
      </w:r>
      <w:r w:rsidR="000A6E1C">
        <w:rPr>
          <w:b/>
        </w:rPr>
        <w:t xml:space="preserve"> </w:t>
      </w:r>
      <w:r w:rsidR="00651F37">
        <w:rPr>
          <w:b/>
        </w:rPr>
        <w:t xml:space="preserve">российских </w:t>
      </w:r>
      <w:r w:rsidR="000A6E1C">
        <w:rPr>
          <w:b/>
        </w:rPr>
        <w:t xml:space="preserve">авиакомпаний, выполняющих разовые полёты </w:t>
      </w:r>
      <w:r w:rsidR="00341F90">
        <w:rPr>
          <w:b/>
        </w:rPr>
        <w:t>в</w:t>
      </w:r>
      <w:r w:rsidR="000A6E1C">
        <w:rPr>
          <w:b/>
        </w:rPr>
        <w:t xml:space="preserve"> </w:t>
      </w:r>
      <w:r w:rsidR="00341F90">
        <w:rPr>
          <w:b/>
        </w:rPr>
        <w:t>Италию</w:t>
      </w:r>
      <w:bookmarkStart w:id="0" w:name="_GoBack"/>
      <w:bookmarkEnd w:id="0"/>
      <w:r w:rsidR="000A6E1C">
        <w:rPr>
          <w:b/>
        </w:rPr>
        <w:t xml:space="preserve">, </w:t>
      </w:r>
      <w:r>
        <w:rPr>
          <w:b/>
        </w:rPr>
        <w:t xml:space="preserve">и </w:t>
      </w:r>
      <w:r>
        <w:rPr>
          <w:b/>
        </w:rPr>
        <w:t>российских граждан</w:t>
      </w:r>
      <w:r>
        <w:rPr>
          <w:b/>
        </w:rPr>
        <w:t xml:space="preserve">, </w:t>
      </w:r>
      <w:r w:rsidR="000A6E1C">
        <w:rPr>
          <w:b/>
        </w:rPr>
        <w:t xml:space="preserve">въезжающих </w:t>
      </w:r>
      <w:r w:rsidR="00651F37">
        <w:rPr>
          <w:b/>
        </w:rPr>
        <w:t xml:space="preserve">в </w:t>
      </w:r>
      <w:r w:rsidR="000A6E1C">
        <w:rPr>
          <w:b/>
        </w:rPr>
        <w:t xml:space="preserve"> </w:t>
      </w:r>
      <w:r>
        <w:rPr>
          <w:b/>
        </w:rPr>
        <w:t>Итали</w:t>
      </w:r>
      <w:r w:rsidR="00651F37">
        <w:rPr>
          <w:b/>
        </w:rPr>
        <w:t>ю</w:t>
      </w:r>
      <w:r w:rsidR="000A6E1C">
        <w:rPr>
          <w:b/>
        </w:rPr>
        <w:t xml:space="preserve"> с целью прохождения лечения </w:t>
      </w:r>
    </w:p>
    <w:p w:rsidR="00125887" w:rsidRDefault="00125887">
      <w:pPr>
        <w:pStyle w:val="af4"/>
        <w:tabs>
          <w:tab w:val="left" w:pos="4320"/>
          <w:tab w:val="left" w:pos="4500"/>
        </w:tabs>
        <w:spacing w:before="0" w:after="0"/>
        <w:ind w:firstLine="709"/>
      </w:pPr>
    </w:p>
    <w:p w:rsidR="00050171" w:rsidRDefault="00050171">
      <w:pPr>
        <w:pStyle w:val="af4"/>
        <w:tabs>
          <w:tab w:val="left" w:pos="4320"/>
          <w:tab w:val="left" w:pos="4500"/>
        </w:tabs>
        <w:spacing w:before="0" w:after="0"/>
        <w:ind w:firstLine="709"/>
      </w:pPr>
      <w:r>
        <w:t>Обращаем ваше</w:t>
      </w:r>
      <w:r w:rsidR="000A6E1C">
        <w:t xml:space="preserve"> внимание на ужесточение со стороны профильных государственных структур Итальянской Республики </w:t>
      </w:r>
      <w:proofErr w:type="gramStart"/>
      <w:r w:rsidR="000A6E1C">
        <w:t>контроля за</w:t>
      </w:r>
      <w:proofErr w:type="gramEnd"/>
      <w:r w:rsidR="000A6E1C">
        <w:t xml:space="preserve"> соблюдением требований по въезду на территорию Италии граждан, приглашаемых итальянскими клиникам</w:t>
      </w:r>
      <w:r w:rsidR="000A6E1C">
        <w:t xml:space="preserve">и пройти курс лечения, включающих усиленную проверку выданных приглашений и виз. </w:t>
      </w:r>
    </w:p>
    <w:p w:rsidR="0055545F" w:rsidRDefault="000A6E1C">
      <w:pPr>
        <w:pStyle w:val="af4"/>
        <w:tabs>
          <w:tab w:val="left" w:pos="4320"/>
          <w:tab w:val="left" w:pos="4500"/>
        </w:tabs>
        <w:spacing w:before="0" w:after="0"/>
        <w:ind w:firstLine="709"/>
      </w:pPr>
      <w:r>
        <w:t xml:space="preserve">В связи с участившимися при прохождении пограничного контроля случаями отказа российским гражданам во въезде на территорию Италии и аннулировании выданных виз рекомендуем при </w:t>
      </w:r>
      <w:r>
        <w:t>принятии решения о лечении в клиниках Италии воздержаться от такой поездки, если целью поездки/лечения являются</w:t>
      </w:r>
      <w:r w:rsidR="0055545F">
        <w:t>:</w:t>
      </w:r>
    </w:p>
    <w:p w:rsidR="0055545F" w:rsidRDefault="0055545F">
      <w:pPr>
        <w:pStyle w:val="af4"/>
        <w:tabs>
          <w:tab w:val="left" w:pos="4320"/>
          <w:tab w:val="left" w:pos="4500"/>
        </w:tabs>
        <w:spacing w:before="0" w:after="0"/>
        <w:ind w:firstLine="709"/>
      </w:pPr>
      <w:r>
        <w:t>-</w:t>
      </w:r>
      <w:r w:rsidR="000A6E1C">
        <w:t xml:space="preserve"> прохождение </w:t>
      </w:r>
      <w:proofErr w:type="gramStart"/>
      <w:r w:rsidR="000A6E1C">
        <w:t>косметических</w:t>
      </w:r>
      <w:proofErr w:type="gramEnd"/>
      <w:r w:rsidR="000A6E1C">
        <w:t xml:space="preserve"> и </w:t>
      </w:r>
      <w:proofErr w:type="spellStart"/>
      <w:r w:rsidR="000A6E1C">
        <w:t>спа</w:t>
      </w:r>
      <w:proofErr w:type="spellEnd"/>
      <w:r w:rsidR="000A6E1C">
        <w:t xml:space="preserve">-процедур, </w:t>
      </w:r>
    </w:p>
    <w:p w:rsidR="0055545F" w:rsidRDefault="0055545F">
      <w:pPr>
        <w:pStyle w:val="af4"/>
        <w:tabs>
          <w:tab w:val="left" w:pos="4320"/>
          <w:tab w:val="left" w:pos="4500"/>
        </w:tabs>
        <w:spacing w:before="0" w:after="0"/>
        <w:ind w:firstLine="709"/>
      </w:pPr>
      <w:r>
        <w:t>-</w:t>
      </w:r>
      <w:r w:rsidR="000A6E1C">
        <w:t>лечение методами гомеопатии, прохождение физиотерапии,</w:t>
      </w:r>
    </w:p>
    <w:p w:rsidR="0055545F" w:rsidRDefault="0055545F">
      <w:pPr>
        <w:pStyle w:val="af4"/>
        <w:tabs>
          <w:tab w:val="left" w:pos="4320"/>
          <w:tab w:val="left" w:pos="4500"/>
        </w:tabs>
        <w:spacing w:before="0" w:after="0"/>
        <w:ind w:firstLine="709"/>
      </w:pPr>
      <w:r>
        <w:t xml:space="preserve">- </w:t>
      </w:r>
      <w:r w:rsidR="000A6E1C">
        <w:t xml:space="preserve">услуги массажа и мануальной терапии. </w:t>
      </w:r>
    </w:p>
    <w:p w:rsidR="00125887" w:rsidRDefault="000A6E1C">
      <w:pPr>
        <w:pStyle w:val="af4"/>
        <w:tabs>
          <w:tab w:val="left" w:pos="4320"/>
          <w:tab w:val="left" w:pos="4500"/>
        </w:tabs>
        <w:spacing w:before="0" w:after="0"/>
        <w:ind w:firstLine="709"/>
      </w:pPr>
      <w:r>
        <w:t>Также в пе</w:t>
      </w:r>
      <w:r>
        <w:t>ресечении итальянской границы будет отказано, если граждане прибыли на стоматологическое лечение.</w:t>
      </w:r>
    </w:p>
    <w:p w:rsidR="00125887" w:rsidRDefault="000A6E1C">
      <w:pPr>
        <w:pStyle w:val="af4"/>
        <w:tabs>
          <w:tab w:val="left" w:pos="4320"/>
          <w:tab w:val="left" w:pos="4500"/>
        </w:tabs>
        <w:spacing w:before="0" w:after="0"/>
        <w:ind w:firstLine="709"/>
      </w:pPr>
      <w:r>
        <w:t>При этом обращаем внимание, что прохождение курортного лечения в итальянских медучреждениях возможно при условии наличия у пациентов серьёзных заболеваний, на</w:t>
      </w:r>
      <w:r>
        <w:t>личие которых подтверждено выданными документами (справками), и визы.</w:t>
      </w:r>
    </w:p>
    <w:p w:rsidR="00125887" w:rsidRDefault="000A6E1C">
      <w:pPr>
        <w:pStyle w:val="af4"/>
        <w:tabs>
          <w:tab w:val="left" w:pos="4320"/>
          <w:tab w:val="left" w:pos="4500"/>
        </w:tabs>
        <w:spacing w:before="0" w:after="0"/>
        <w:ind w:firstLine="709"/>
      </w:pPr>
      <w:r>
        <w:t>Что касается выдаваемых пациентам приглашений, то рекомендуется обращаться в государственные медицинские учреждения (клиники) Италии. Приглашение должно быть подписано директором учрежде</w:t>
      </w:r>
      <w:r>
        <w:t>ния (главным врачом).</w:t>
      </w:r>
    </w:p>
    <w:p w:rsidR="00125887" w:rsidRDefault="000A6E1C">
      <w:pPr>
        <w:pStyle w:val="af4"/>
        <w:tabs>
          <w:tab w:val="left" w:pos="4320"/>
          <w:tab w:val="left" w:pos="4500"/>
        </w:tabs>
        <w:spacing w:before="0" w:after="0"/>
        <w:ind w:firstLine="709"/>
      </w:pPr>
      <w:r>
        <w:t>Не рекомендуется обращаться в малоизвестные частные клиники, за услугами частнопрактикующих итальянских врачей и прибегать к услугам фирм-посредников, выдающих какие-либо приглашения (справки).</w:t>
      </w:r>
    </w:p>
    <w:p w:rsidR="00125887" w:rsidRDefault="000A6E1C">
      <w:pPr>
        <w:pStyle w:val="af4"/>
        <w:tabs>
          <w:tab w:val="left" w:pos="4320"/>
          <w:tab w:val="left" w:pos="4500"/>
        </w:tabs>
        <w:spacing w:before="0" w:after="0"/>
        <w:ind w:firstLine="709"/>
      </w:pPr>
      <w:r>
        <w:t xml:space="preserve">Кроме того, во избежание любых задержек </w:t>
      </w:r>
      <w:r>
        <w:t xml:space="preserve">или отказа во въезде со стороны пограничных служб Италии настоятельно </w:t>
      </w:r>
      <w:r w:rsidR="00050171">
        <w:t>рекомендуем российским</w:t>
      </w:r>
      <w:r>
        <w:t xml:space="preserve"> гражда</w:t>
      </w:r>
      <w:r w:rsidR="00114584">
        <w:t>на</w:t>
      </w:r>
      <w:r w:rsidR="00050171">
        <w:t>м</w:t>
      </w:r>
      <w:r>
        <w:t>, планирующих выезды за рубеж с целью прохождения лечения в итальянских клиниках, должным образом оформлять необходимые проездные документы</w:t>
      </w:r>
      <w:r w:rsidR="006436A7">
        <w:t>. Необходимо</w:t>
      </w:r>
      <w:r w:rsidR="00114584">
        <w:t xml:space="preserve"> в</w:t>
      </w:r>
      <w:r>
        <w:t xml:space="preserve"> устано</w:t>
      </w:r>
      <w:r>
        <w:t>вленном порядке получать в консульских отделах заграничных учреждениях Итальянской Республики в Российской Федерации специальные визы категории «</w:t>
      </w:r>
      <w:r>
        <w:rPr>
          <w:i/>
        </w:rPr>
        <w:t>Лечение</w:t>
      </w:r>
      <w:r>
        <w:t>», выдаваемые со сроком действия до одного года (после получения визы категории «Лечение» ранее выданные</w:t>
      </w:r>
      <w:r>
        <w:t xml:space="preserve"> шенгенские визы аннулируются).</w:t>
      </w:r>
    </w:p>
    <w:p w:rsidR="00125887" w:rsidRDefault="000A6E1C">
      <w:pPr>
        <w:pStyle w:val="af4"/>
        <w:tabs>
          <w:tab w:val="left" w:pos="4320"/>
          <w:tab w:val="left" w:pos="4500"/>
        </w:tabs>
        <w:spacing w:before="0" w:after="0"/>
        <w:ind w:firstLine="709"/>
      </w:pPr>
      <w:r>
        <w:t xml:space="preserve">Доводим до сведения авиакомпаний, выполняющих разовые полёты в пункты на территории Итальянской Республики, о необходимости при посадке пассажиров на борт проведения усиленного </w:t>
      </w:r>
      <w:proofErr w:type="gramStart"/>
      <w:r>
        <w:t>контроля за</w:t>
      </w:r>
      <w:proofErr w:type="gramEnd"/>
      <w:r>
        <w:t xml:space="preserve"> наличием у пассажиров разрешающих п</w:t>
      </w:r>
      <w:r>
        <w:t>роездных документов, виз категории «Лечение», приглашений от медицинских учреждений и иных документов, подтверждающих намерение пройти курс л</w:t>
      </w:r>
      <w:r w:rsidR="00050171">
        <w:t>ечения в итальянских клиниках.</w:t>
      </w:r>
    </w:p>
    <w:p w:rsidR="00125887" w:rsidRDefault="00125887">
      <w:pPr>
        <w:pStyle w:val="af4"/>
        <w:tabs>
          <w:tab w:val="left" w:pos="1620"/>
        </w:tabs>
        <w:spacing w:before="0" w:after="0"/>
        <w:rPr>
          <w:sz w:val="24"/>
          <w:szCs w:val="24"/>
        </w:rPr>
      </w:pPr>
    </w:p>
    <w:sectPr w:rsidR="00125887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1C" w:rsidRDefault="000A6E1C">
      <w:r>
        <w:separator/>
      </w:r>
    </w:p>
  </w:endnote>
  <w:endnote w:type="continuationSeparator" w:id="0">
    <w:p w:rsidR="000A6E1C" w:rsidRDefault="000A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1C" w:rsidRDefault="000A6E1C">
      <w:r>
        <w:separator/>
      </w:r>
    </w:p>
  </w:footnote>
  <w:footnote w:type="continuationSeparator" w:id="0">
    <w:p w:rsidR="000A6E1C" w:rsidRDefault="000A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87" w:rsidRDefault="000A6E1C">
    <w:pPr>
      <w:pStyle w:val="af6"/>
      <w:jc w:val="center"/>
    </w:pPr>
    <w:r>
      <w:fldChar w:fldCharType="begin"/>
    </w:r>
    <w:r>
      <w:instrText>PAGE \* MERGEFORMAT</w:instrText>
    </w:r>
    <w:r>
      <w:fldChar w:fldCharType="separate"/>
    </w:r>
    <w:r w:rsidR="00050171">
      <w:rPr>
        <w:noProof/>
      </w:rPr>
      <w:t>2</w:t>
    </w:r>
    <w:r>
      <w:fldChar w:fldCharType="end"/>
    </w:r>
  </w:p>
  <w:p w:rsidR="00125887" w:rsidRDefault="0012588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5353"/>
    <w:multiLevelType w:val="multilevel"/>
    <w:tmpl w:val="9626A9F8"/>
    <w:lvl w:ilvl="0">
      <w:start w:val="1"/>
      <w:numFmt w:val="upperRoman"/>
      <w:lvlText w:val="%1."/>
      <w:lvlJc w:val="right"/>
      <w:pPr>
        <w:tabs>
          <w:tab w:val="num" w:pos="567"/>
        </w:tabs>
        <w:ind w:left="4612" w:hanging="36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center"/>
      <w:pPr>
        <w:ind w:left="422" w:firstLine="288"/>
      </w:pPr>
      <w:rPr>
        <w:rFonts w:ascii="Times New Roman" w:hAnsi="Times New Roman" w:cs="Times New Roman" w:hint="default"/>
        <w:i w:val="0"/>
        <w:color w:val="auto"/>
        <w:lang w:val="ru-RU"/>
      </w:rPr>
    </w:lvl>
    <w:lvl w:ilvl="2">
      <w:start w:val="1"/>
      <w:numFmt w:val="decimal"/>
      <w:isLgl/>
      <w:suff w:val="space"/>
      <w:lvlText w:val="%1.%2.%3. "/>
      <w:lvlJc w:val="left"/>
      <w:pPr>
        <w:ind w:left="709" w:firstLine="709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-32767" w:hanging="320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-32767" w:hanging="320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firstLine="29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4"/>
        </w:tabs>
        <w:ind w:left="3744" w:firstLine="2902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firstLine="28450"/>
      </w:pPr>
      <w:rPr>
        <w:rFonts w:hint="default"/>
      </w:rPr>
    </w:lvl>
  </w:abstractNum>
  <w:abstractNum w:abstractNumId="1">
    <w:nsid w:val="579712F7"/>
    <w:multiLevelType w:val="multilevel"/>
    <w:tmpl w:val="2528E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F461FF"/>
    <w:multiLevelType w:val="multilevel"/>
    <w:tmpl w:val="D9424A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87"/>
    <w:rsid w:val="00050171"/>
    <w:rsid w:val="000A6E1C"/>
    <w:rsid w:val="00114584"/>
    <w:rsid w:val="00125887"/>
    <w:rsid w:val="002850B9"/>
    <w:rsid w:val="00341F90"/>
    <w:rsid w:val="00393C2B"/>
    <w:rsid w:val="0055545F"/>
    <w:rsid w:val="006436A7"/>
    <w:rsid w:val="0065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4">
    <w:name w:val="Body Text"/>
    <w:basedOn w:val="a"/>
    <w:link w:val="af5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f5">
    <w:name w:val="Основной текст Знак"/>
    <w:link w:val="af4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4">
    <w:name w:val="Body Text"/>
    <w:basedOn w:val="a"/>
    <w:link w:val="af5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f5">
    <w:name w:val="Основной текст Знак"/>
    <w:link w:val="af4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 В.В.</dc:creator>
  <cp:lastModifiedBy>Михеева Елена</cp:lastModifiedBy>
  <cp:revision>7</cp:revision>
  <dcterms:created xsi:type="dcterms:W3CDTF">2020-09-24T13:20:00Z</dcterms:created>
  <dcterms:modified xsi:type="dcterms:W3CDTF">2020-09-24T13:30:00Z</dcterms:modified>
</cp:coreProperties>
</file>